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t xml:space="preserve"> </w:t>
            </w:r>
            <w:r>
              <w:rPr>
                <w:sz w:val="22"/>
              </w:rPr>
              <w:t>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tc>
      </w:tr>
    </w:tbl>
    <w:p>
      <w:pPr>
        <w:pStyle w:val="Normal"/>
        <w:rPr>
          <w:b/>
          <w:sz w:val="22"/>
        </w:rPr>
      </w:pPr>
      <w:r>
        <w:rPr>
          <w:b/>
          <w:sz w:val="22"/>
        </w:rPr>
      </w:r>
    </w:p>
    <w:p>
      <w:pPr>
        <w:pStyle w:val="Normal"/>
        <w:jc w:val="both"/>
        <w:rPr>
          <w:sz w:val="22"/>
        </w:rPr>
      </w:pPr>
      <w:r>
        <w:rPr>
          <w:b/>
          <w:sz w:val="22"/>
        </w:rPr>
        <w:t>Governing Law:</w:t>
      </w:r>
      <w:r>
        <w:rPr>
          <w:sz w:val="22"/>
        </w:rPr>
        <w:tab/>
        <w:tab/>
        <w:tab/>
        <w:tab/>
      </w:r>
      <w:r>
        <w:rPr>
          <w:sz w:val="22"/>
        </w:rPr>
        <w:fldChar w:fldCharType="begin"/>
      </w:r>
      <w:r>
        <w:rPr>
          <w:sz w:val="22"/>
        </w:rPr>
        <w:instrText xml:space="preserve"> MERGEFIELD GoverningLaw </w:instrText>
      </w:r>
      <w:r>
        <w:rPr>
          <w:sz w:val="22"/>
        </w:rPr>
        <w:fldChar w:fldCharType="separate"/>
      </w:r>
      <w:r>
        <w:rPr>
          <w:sz w:val="22"/>
        </w:rPr>
        <w:t>«GoverningLaw»</w:t>
      </w:r>
      <w:r>
        <w:rPr>
          <w:sz w:val="22"/>
        </w:rPr>
        <w:fldChar w:fldCharType="end"/>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 or (g) with respect to Counterparty only, the occurrence of a Regulatory Event.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sz w:val="18"/>
          <w:u w:val="single"/>
        </w:rPr>
        <w:t>Regulatory Event</w:t>
      </w:r>
      <w:r>
        <w:rPr>
          <w:rFonts w:cs="Arial Narrow" w:ascii="Arial Narrow" w:hAnsi="Arial Narrow"/>
          <w:sz w:val="18"/>
        </w:rPr>
        <w:t>" means the filing of a motion, petition, pleading, application or other similar action, including the assertion of a position, in any proceeding or action by Counterparty, a commission, regulatory agency or other entity having jurisdiction over Counterparty, in respect of Counterparty, or in respect of any other similarly situated entity organized under the laws of the state(s) in which Counterparty is located or regulated to the effect that performance under the Confirmation or any one or more Transactions hereunder or similar agreements is unlawful or that the Confirmation or any one or more Transactions hereunder or under similar agreements are void or voidable.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2001-10-02T13:45:00Z</dcterms:created>
  <dc:creator>ECT</dc:creator>
  <dc:description/>
  <dc:language>en-CA</dc:language>
  <cp:lastModifiedBy>khundl</cp:lastModifiedBy>
  <dcterms:modified xsi:type="dcterms:W3CDTF">2001-10-02T13:45:00Z</dcterms:modified>
  <cp:revision>2</cp:revision>
  <dc:subject/>
  <dc:title/>
</cp:coreProperties>
</file>