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September 19, 2001</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Ontario Power Generation Inc.</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Documentation Department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(416) 592-4518</w:t>
      </w:r>
      <w:r>
        <w:rPr>
          <w:sz w:val="22"/>
        </w:rPr>
        <w:fldChar w:fldCharType="end"/>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780481.01</w:t>
      </w:r>
      <w:r>
        <w:rPr>
          <w:sz w:val="22"/>
        </w:rPr>
        <w:fldChar w:fldCharType="end"/>
      </w:r>
    </w:p>
    <w:p>
      <w:pPr>
        <w:pStyle w:val="Normal"/>
        <w:rPr>
          <w:sz w:val="22"/>
        </w:rPr>
      </w:pPr>
      <w:r>
        <w:rPr>
          <w:sz w:val="22"/>
        </w:rPr>
      </w:r>
    </w:p>
    <w:p>
      <w:pPr>
        <w:pStyle w:val="Normal"/>
        <w:jc w:val="center"/>
        <w:rPr>
          <w:b/>
          <w:sz w:val="22"/>
        </w:rPr>
      </w:pPr>
      <w:r>
        <w:rPr>
          <w:b/>
          <w:sz w:val="22"/>
        </w:rPr>
        <w:fldChar w:fldCharType="begin"/>
      </w:r>
      <w:r>
        <w:rPr>
          <w:sz w:val="22"/>
          <w:b/>
        </w:rPr>
        <w:instrText xml:space="preserve"> MERGEFIELD EOLID </w:instrText>
      </w:r>
      <w:r>
        <w:rPr>
          <w:sz w:val="22"/>
          <w:b/>
        </w:rPr>
        <w:fldChar w:fldCharType="separate"/>
      </w:r>
      <w:r>
        <w:rPr>
          <w:sz w:val="22"/>
          <w:b/>
        </w:rPr>
        <w:t>This Transaction was entered into between the parties via EnronOnline.</w:t>
        <w:t>EnronOnline Deal No: 1880130</w:t>
      </w:r>
      <w:r>
        <w:rPr>
          <w:sz w:val="22"/>
          <w:b/>
        </w:rPr>
        <w:fldChar w:fldCharType="end"/>
      </w:r>
    </w:p>
    <w:p>
      <w:pPr>
        <w:pStyle w:val="Normal"/>
        <w:rPr>
          <w:b/>
          <w:sz w:val="22"/>
        </w:rPr>
      </w:pPr>
      <w:r>
        <w:rPr>
          <w:b/>
          <w:sz w:val="22"/>
        </w:rPr>
      </w:r>
    </w:p>
    <w:p>
      <w:pPr>
        <w:pStyle w:val="Normal"/>
        <w:rPr>
          <w:sz w:val="22"/>
        </w:rPr>
      </w:pPr>
      <w:r>
        <w:rPr>
          <w:sz w:val="22"/>
        </w:rPr>
        <w:tab/>
        <w:t>The purpose of this letter agreement (together with the General Terms &amp; Conditions of Confirmation ("GTC") that you have accepted via EnronOnline and any attachments hereto, collectively the "Confirmation") is to confirm the terms and conditions of the transaction entered into between us on the Trade Date specified below (the "Transaction") whereby we accepted your offer to enter into the Transaction. The GTC is hereby made a part hereof and incorporated herein by reference.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pPr>
            <w:r>
              <w:rPr>
                <w:sz w:val="22"/>
              </w:rPr>
              <w:fldChar w:fldCharType="begin"/>
            </w:r>
            <w:r>
              <w:rPr>
                <w:sz w:val="22"/>
              </w:rPr>
              <w:instrText xml:space="preserve"> MERGEFIELD QuantityPerHour </w:instrText>
            </w:r>
            <w:r>
              <w:rPr>
                <w:sz w:val="22"/>
              </w:rPr>
              <w:fldChar w:fldCharType="separate"/>
            </w:r>
            <w:r>
              <w:rPr>
                <w:sz w:val="22"/>
              </w:rPr>
              <w:t>50</w:t>
            </w:r>
            <w:r>
              <w:rPr>
                <w:sz w:val="22"/>
              </w:rPr>
              <w:fldChar w:fldCharType="end"/>
            </w:r>
            <w:r>
              <w:rPr>
                <w:sz w:val="22"/>
              </w:rPr>
              <w:t xml:space="preserve"> </w:t>
            </w:r>
            <w:r>
              <w:rPr>
                <w:sz w:val="22"/>
              </w:rPr>
              <w:t>MWs per hour for each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September 19,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September 20,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September 20,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Term </w:instrText>
            </w:r>
            <w:r>
              <w:rPr>
                <w:sz w:val="22"/>
              </w:rPr>
              <w:fldChar w:fldCharType="separate"/>
            </w:r>
            <w:r>
              <w:rPr>
                <w:sz w:val="22"/>
              </w:rPr>
              <w:t xml:space="preserve">Thursday, September 20, 2001. </w:t>
              <w:t xml:space="preserve">Hour Ending (HE) 0800 through HE 2300 (16 Hours); </w:t>
              <w:t xml:space="preserve">Eastern Prevailing Time. </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pPr>
            <w:r>
              <w:rPr>
                <w:sz w:val="22"/>
              </w:rPr>
              <w:t>The fifth (5</w:t>
            </w:r>
            <w:r>
              <w:rPr>
                <w:sz w:val="22"/>
                <w:vertAlign w:val="superscript"/>
              </w:rPr>
              <w:t>th</w:t>
            </w:r>
            <w:r>
              <w:rPr>
                <w:sz w:val="22"/>
              </w:rPr>
              <w:t>) Business Day following the last day of the month that includes the Determination Period.</w:t>
            </w:r>
          </w:p>
        </w:tc>
      </w:tr>
    </w:tbl>
    <w:p>
      <w:pPr>
        <w:pStyle w:val="Normal"/>
        <w:rPr>
          <w:sz w:val="22"/>
        </w:rPr>
      </w:pPr>
      <w:r>
        <w:rPr>
          <w:sz w:val="22"/>
        </w:rPr>
      </w:r>
    </w:p>
    <w:p>
      <w:pPr>
        <w:pStyle w:val="Normal"/>
        <w:rPr>
          <w:b/>
          <w:sz w:val="22"/>
        </w:rPr>
      </w:pPr>
      <w:r>
        <w:rPr>
          <w:b/>
          <w:sz w:val="22"/>
        </w:rPr>
        <w:t>Fixed Amount Details:</w:t>
      </w:r>
    </w:p>
    <w:p>
      <w:pPr>
        <w:pStyle w:val="Normal"/>
        <w:rPr>
          <w:b/>
          <w:sz w:val="22"/>
        </w:rPr>
      </w:pPr>
      <w:r>
        <w:rPr>
          <w:b/>
          <w:sz w:val="22"/>
        </w:rPr>
      </w:r>
    </w:p>
    <w:p>
      <w:pPr>
        <w:pStyle w:val="Normal"/>
        <w:jc w:val="both"/>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$29.35/MWh.</w:t>
            </w:r>
            <w:r>
              <w:rPr>
                <w:sz w:val="22"/>
              </w:rPr>
              <w:fldChar w:fldCharType="end"/>
            </w:r>
          </w:p>
        </w:tc>
      </w:tr>
    </w:tbl>
    <w:p>
      <w:pPr>
        <w:pStyle w:val="Normal"/>
        <w:rPr>
          <w:sz w:val="22"/>
        </w:rPr>
      </w:pPr>
      <w:r>
        <w:rPr>
          <w:sz w:val="22"/>
        </w:rPr>
        <w:tab/>
      </w:r>
    </w:p>
    <w:p>
      <w:pPr>
        <w:pStyle w:val="Normal"/>
        <w:rPr>
          <w:b/>
          <w:sz w:val="22"/>
        </w:rPr>
      </w:pPr>
      <w:r>
        <w:rPr>
          <w:b/>
          <w:sz w:val="22"/>
        </w:rPr>
        <w:t>Floating Amount Details:</w:t>
      </w:r>
    </w:p>
    <w:p>
      <w:pPr>
        <w:pStyle w:val="Normal"/>
        <w:rPr>
          <w:b/>
          <w:sz w:val="22"/>
        </w:rPr>
      </w:pPr>
      <w:r>
        <w:rPr>
          <w:b/>
          <w:sz w:val="22"/>
        </w:rPr>
      </w:r>
    </w:p>
    <w:p>
      <w:pPr>
        <w:pStyle w:val="Normal"/>
        <w:jc w:val="both"/>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hourly-weighted average of the hourly day-ahead prices as published by the New York Independent System Operator (the “NYISO”) on the NYISO’s official web site currently located at www.nyiso.com/oasis/index.html, or any successor thereto, under the headings “Day Ahead Market LBMP - Zonal; LBMP ($/MWHr); West (61752)” (Zone A) for electricity delivered during the applicable Determination Period.</w:t>
            </w:r>
            <w:r>
              <w:rPr>
                <w:sz w:val="22"/>
              </w:rPr>
              <w:fldChar w:fldCharType="end"/>
            </w:r>
          </w:p>
        </w:tc>
      </w:tr>
      <w:tr>
        <w:trPr/>
        <w:tc>
          <w:tcPr>
            <w:tcW w:w="4338" w:type="dxa"/>
            <w:tcBorders/>
          </w:tcPr>
          <w:p>
            <w:pPr>
              <w:pStyle w:val="Normal"/>
              <w:rPr>
                <w:sz w:val="22"/>
              </w:rPr>
            </w:pPr>
            <w:r>
              <w:rPr>
                <w:sz w:val="22"/>
              </w:rPr>
              <w:t xml:space="preserve">           </w:t>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jc w:val="both"/>
        <w:rPr/>
      </w:pPr>
      <w:r>
        <w:rPr>
          <w:b/>
          <w:sz w:val="22"/>
        </w:rPr>
        <w:t>Governing Law:</w:t>
      </w:r>
      <w:r>
        <w:rPr>
          <w:sz w:val="22"/>
        </w:rPr>
        <w:tab/>
        <w:tab/>
        <w:tab/>
        <w:tab/>
        <w:t>New York</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sz w:val="22"/>
              </w:rPr>
            </w:pPr>
            <w:r>
              <w:rPr>
                <w:sz w:val="22"/>
              </w:rPr>
              <w:t>This Transaction is governed by the General Terms &amp; Conditions (“GTC”) that you have accepted via the Website.  This letter agreement is being provided pursuant to and in accordance with the GTC and constitutes part of and is subject to all of the provisions of the GTC.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ind w:firstLine="720" w:end="0"/>
        <w:jc w:val="both"/>
        <w:rPr>
          <w:sz w:val="22"/>
        </w:rPr>
      </w:pPr>
      <w:r>
        <w:rPr>
          <w:sz w:val="22"/>
        </w:rPr>
      </w:r>
    </w:p>
    <w:p>
      <w:pPr>
        <w:pStyle w:val="Normal"/>
        <w:autoSpaceDE w:val="false"/>
        <w:ind w:firstLine="720" w:end="0"/>
        <w:rPr>
          <w:sz w:val="22"/>
          <w:szCs w:val="22"/>
        </w:rPr>
      </w:pPr>
      <w:r>
        <w:rPr>
          <w:sz w:val="22"/>
          <w:szCs w:val="22"/>
        </w:rPr>
        <w:t>Each party represents to the other party that on the date a Transaction is entered into: (i) such Transaction shall constitute an “OTC Derivative” as defined in paragraph 4 of the Alberta Securities Commission Order Doc#394043 and paragraph 1.1 of the British Columbia Securities Commission Blanket Order BOR#91-501(BC) and it is a “Qualified Party” within the meaning of paragraph 9.1 and 1.1 of such orders, respectively, as in effect on the date hereof.</w:t>
      </w:r>
    </w:p>
    <w:p>
      <w:pPr>
        <w:pStyle w:val="Normal"/>
        <w:ind w:firstLine="720" w:end="0"/>
        <w:jc w:val="both"/>
        <w:rPr>
          <w:sz w:val="22"/>
          <w:szCs w:val="22"/>
        </w:rPr>
      </w:pPr>
      <w:r>
        <w:rPr>
          <w:sz w:val="22"/>
          <w:szCs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Ontario Power Generation Inc.</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September 28, 2001</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r>
        <w:br w:type="page"/>
      </w:r>
    </w:p>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r>
        <w:rPr>
          <w:b/>
          <w:sz w:val="22"/>
        </w:rPr>
        <w:fldChar w:fldCharType="begin"/>
      </w:r>
      <w:r>
        <w:rPr>
          <w:sz w:val="22"/>
          <w:b/>
        </w:rPr>
        <w:instrText xml:space="preserve"> MERGEFIELD EnronFax </w:instrText>
      </w:r>
      <w:r>
        <w:rPr>
          <w:sz w:val="22"/>
          <w:b/>
        </w:rPr>
        <w:fldChar w:fldCharType="separate"/>
      </w:r>
      <w:r>
        <w:rPr>
          <w:sz w:val="22"/>
          <w:b/>
        </w:rPr>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r>
        <w:br w:type="page"/>
      </w:r>
    </w:p>
    <w:p>
      <w:pPr>
        <w:pStyle w:val="Normal"/>
        <w:jc w:val="end"/>
        <w:rPr>
          <w:b/>
          <w:bCs/>
          <w:sz w:val="22"/>
          <w:szCs w:val="22"/>
        </w:rPr>
      </w:pPr>
      <w:r>
        <w:rPr>
          <w:b/>
          <w:bCs/>
          <w:sz w:val="22"/>
          <w:szCs w:val="22"/>
        </w:rPr>
      </w:r>
    </w:p>
    <w:p>
      <w:pPr>
        <w:pStyle w:val="Normal"/>
        <w:ind w:firstLine="720" w:end="0"/>
        <w:jc w:val="both"/>
        <w:rPr>
          <w:b/>
          <w:bCs/>
          <w:sz w:val="22"/>
          <w:szCs w:val="22"/>
        </w:rPr>
      </w:pPr>
      <w:r>
        <w:rPr>
          <w:b/>
          <w:bCs/>
          <w:sz w:val="22"/>
          <w:szCs w:val="22"/>
        </w:rPr>
      </w:r>
    </w:p>
    <w:p>
      <w:pPr>
        <w:pStyle w:val="Subtitle"/>
        <w:rPr>
          <w:rFonts w:ascii="Arial Narrow" w:hAnsi="Arial Narrow" w:cs="Arial Narrow"/>
          <w:sz w:val="18"/>
          <w:u w:val="single"/>
        </w:rPr>
      </w:pPr>
      <w:r>
        <w:rPr>
          <w:rFonts w:cs="Arial Narrow" w:ascii="Arial Narrow" w:hAnsi="Arial Narrow"/>
          <w:sz w:val="18"/>
          <w:u w:val="single"/>
        </w:rPr>
        <w:t>ANNEX B</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Subtitle"/>
        <w:rPr>
          <w:rFonts w:ascii="Arial Narrow" w:hAnsi="Arial Narrow" w:cs="Arial Narrow"/>
          <w:sz w:val="18"/>
        </w:rPr>
      </w:pPr>
      <w:r>
        <w:rPr>
          <w:rFonts w:cs="Arial Narrow" w:ascii="Arial Narrow" w:hAnsi="Arial Narrow"/>
          <w:sz w:val="18"/>
        </w:rPr>
        <w:t>CREDIT AND OTHER SPECIAL PROVISIONS</w:t>
      </w:r>
    </w:p>
    <w:p>
      <w:pPr>
        <w:pStyle w:val="Normal"/>
        <w:jc w:val="center"/>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b/>
          <w:sz w:val="18"/>
        </w:rPr>
      </w:pPr>
      <w:r>
        <w:rPr>
          <w:rFonts w:cs="Arial Narrow" w:ascii="Arial Narrow" w:hAnsi="Arial Narrow"/>
          <w:b/>
          <w:sz w:val="18"/>
        </w:rPr>
        <w:t>ONTARIO POWER GENERATION INC.</w:t>
      </w:r>
    </w:p>
    <w:p>
      <w:pPr>
        <w:pStyle w:val="Normal"/>
        <w:ind w:firstLine="720" w:end="0"/>
        <w:jc w:val="both"/>
        <w:rPr>
          <w:rFonts w:ascii="Arial Narrow" w:hAnsi="Arial Narrow" w:cs="Arial Narrow"/>
          <w:b/>
          <w:sz w:val="18"/>
        </w:rPr>
      </w:pPr>
      <w:r>
        <w:rPr>
          <w:rFonts w:cs="Arial Narrow" w:ascii="Arial Narrow" w:hAnsi="Arial Narrow"/>
          <w:b/>
          <w:sz w:val="18"/>
        </w:rPr>
      </w:r>
    </w:p>
    <w:p>
      <w:pPr>
        <w:pStyle w:val="Normal"/>
        <w:ind w:firstLine="720" w:end="0"/>
        <w:jc w:val="both"/>
        <w:rPr>
          <w:rFonts w:ascii="Arial Narrow" w:hAnsi="Arial Narrow" w:cs="Arial Narrow"/>
          <w:sz w:val="18"/>
        </w:rPr>
      </w:pPr>
      <w:r>
        <w:rPr>
          <w:rFonts w:cs="Arial Narrow" w:ascii="Arial Narrow" w:hAnsi="Arial Narrow"/>
          <w:sz w:val="18"/>
        </w:rPr>
        <w:t>This Annex B supplements, forms part of, and is incorporated into the Confirmation to which this Annex B is attached.  Until a Master Agreement is executed by the parties, this Annex B will set forth the credit and other special provisions governing all Transactions between the parties except as otherwise specified in a Confirmation to a Transaction; provided upon execution of a Master Agreement by the parties (i) all Additional Amounts shall automatically become Independent Amounts under, and as defined in, the Master Agreement, and (ii) all Performance Assurance held by a party pursuant to the terms hereof shall automatically become Posted Credit Support under, and as defined in, the Master Agreement.</w:t>
      </w:r>
    </w:p>
    <w:p>
      <w:pPr>
        <w:pStyle w:val="Normal"/>
        <w:ind w:firstLine="720" w:end="0"/>
        <w:jc w:val="both"/>
        <w:rPr>
          <w:rFonts w:ascii="Arial Narrow" w:hAnsi="Arial Narrow" w:cs="Arial Narrow"/>
          <w:sz w:val="18"/>
        </w:rPr>
      </w:pPr>
      <w:r>
        <w:rPr>
          <w:rFonts w:cs="Arial Narrow" w:ascii="Arial Narrow" w:hAnsi="Arial Narrow"/>
          <w:sz w:val="18"/>
        </w:rPr>
      </w:r>
    </w:p>
    <w:p>
      <w:pPr>
        <w:pStyle w:val="Normal"/>
        <w:ind w:firstLine="720" w:end="0"/>
        <w:jc w:val="both"/>
        <w:rPr>
          <w:rFonts w:ascii="Arial Narrow" w:hAnsi="Arial Narrow" w:cs="Arial Narrow"/>
          <w:sz w:val="18"/>
        </w:rPr>
      </w:pPr>
      <w:r>
        <w:rPr>
          <w:rFonts w:cs="Arial Narrow" w:ascii="Arial Narrow" w:hAnsi="Arial Narrow"/>
          <w:sz w:val="18"/>
        </w:rPr>
      </w:r>
    </w:p>
    <w:p>
      <w:pPr>
        <w:pStyle w:val="Normal"/>
        <w:ind w:firstLine="720" w:end="0"/>
        <w:jc w:val="both"/>
        <w:rPr>
          <w:rFonts w:ascii="Arial Narrow" w:hAnsi="Arial Narrow" w:cs="Arial Narrow"/>
          <w:sz w:val="18"/>
        </w:rPr>
      </w:pPr>
      <w:r>
        <w:rPr>
          <w:rFonts w:cs="Arial Narrow" w:ascii="Arial Narrow" w:hAnsi="Arial Narrow"/>
          <w:sz w:val="18"/>
        </w:rPr>
        <w:t>FOREIGN COUNTERPARTY.  Counterparty and ENA agree to the representations, warranties and covenants set forth in the Canadian Annex attached to the Confirmation and agree that such Canadian Annex shall supplement, form part of and be incorporated into the Confirmation.</w:t>
      </w:r>
      <w:r>
        <w:br w:type="page"/>
      </w:r>
    </w:p>
    <w:p>
      <w:pPr>
        <w:pStyle w:val="Header"/>
        <w:jc w:val="end"/>
        <w:rPr>
          <w:rFonts w:ascii="Arial Narrow" w:hAnsi="Arial Narrow" w:cs="Arial Narrow"/>
          <w:sz w:val="16"/>
        </w:rPr>
      </w:pPr>
      <w:r>
        <w:rPr>
          <w:rFonts w:cs="Arial Narrow" w:ascii="Arial Narrow" w:hAnsi="Arial Narrow"/>
          <w:sz w:val="16"/>
        </w:rPr>
        <w:t>ENA/Canadian Counterparty</w:t>
      </w:r>
    </w:p>
    <w:p>
      <w:pPr>
        <w:pStyle w:val="Header"/>
        <w:jc w:val="center"/>
        <w:rPr>
          <w:rFonts w:ascii="Arial Narrow" w:hAnsi="Arial Narrow" w:cs="Arial Narrow"/>
          <w:b/>
          <w:sz w:val="20"/>
        </w:rPr>
      </w:pPr>
      <w:r>
        <w:rPr>
          <w:rFonts w:cs="Arial Narrow" w:ascii="Arial Narrow" w:hAnsi="Arial Narrow"/>
          <w:b/>
          <w:sz w:val="20"/>
        </w:rPr>
        <w:t>CANADIAN ANNEX</w:t>
      </w:r>
    </w:p>
    <w:p>
      <w:pPr>
        <w:pStyle w:val="Header"/>
        <w:jc w:val="center"/>
        <w:rPr>
          <w:rFonts w:ascii="Arial Narrow" w:hAnsi="Arial Narrow" w:cs="Arial Narrow"/>
          <w:b/>
          <w:sz w:val="20"/>
        </w:rPr>
      </w:pPr>
      <w:r>
        <w:rPr>
          <w:rFonts w:cs="Arial Narrow" w:ascii="Arial Narrow" w:hAnsi="Arial Narrow"/>
          <w:b/>
          <w:sz w:val="20"/>
        </w:rPr>
        <w:t>ADDITIONAL TERMS FOR CANADIAN COUNTERPARTIES</w:t>
      </w:r>
    </w:p>
    <w:p>
      <w:pPr>
        <w:pStyle w:val="Normal"/>
        <w:tabs>
          <w:tab w:val="clear" w:pos="720"/>
          <w:tab w:val="left" w:pos="5310" w:leader="none"/>
        </w:tabs>
        <w:ind w:end="202"/>
        <w:jc w:val="both"/>
        <w:rPr>
          <w:rFonts w:ascii="Arial Narrow" w:hAnsi="Arial Narrow" w:cs="Arial Narrow"/>
          <w:b/>
          <w:sz w:val="22"/>
        </w:rPr>
      </w:pPr>
      <w:r>
        <w:rPr>
          <w:rFonts w:cs="Arial Narrow" w:ascii="Arial Narrow" w:hAnsi="Arial Narrow"/>
          <w:b/>
          <w:sz w:val="22"/>
        </w:rPr>
      </w:r>
    </w:p>
    <w:p>
      <w:pPr>
        <w:sectPr>
          <w:headerReference w:type="default" r:id="rId3"/>
          <w:type w:val="nextPage"/>
          <w:pgSz w:w="12240" w:h="15840"/>
          <w:pgMar w:left="1152" w:right="864" w:gutter="0" w:header="720" w:top="864" w:footer="0" w:bottom="864"/>
          <w:pgNumType w:fmt="decimal"/>
          <w:formProt w:val="false"/>
          <w:textDirection w:val="lrTb"/>
          <w:docGrid w:type="default" w:linePitch="360" w:charSpace="0"/>
        </w:sectPr>
      </w:pPr>
    </w:p>
    <w:p>
      <w:pPr>
        <w:pStyle w:val="Normal"/>
        <w:tabs>
          <w:tab w:val="clear" w:pos="720"/>
          <w:tab w:val="left" w:pos="5310" w:leader="none"/>
        </w:tabs>
        <w:ind w:end="202"/>
        <w:jc w:val="both"/>
        <w:rPr>
          <w:rFonts w:ascii="Arial Narrow" w:hAnsi="Arial Narrow" w:cs="Arial Narrow"/>
          <w:sz w:val="18"/>
        </w:rPr>
      </w:pPr>
      <w:r>
        <w:rPr>
          <w:rFonts w:cs="Arial Narrow" w:ascii="Arial Narrow" w:hAnsi="Arial Narrow"/>
          <w:sz w:val="18"/>
        </w:rPr>
        <w:t>This Canadian Annex supplements, forms part of, and is incorporated into the Confirmation to which this Canadian Annex is attached.  Until a Master Agreement is executed by the parties, this Canadian Annex will set forth additional terms and conditions governing all Transactions between the parties except as otherwise specified in a Confirmation to a Transaction.</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1.  </w:t>
      </w:r>
      <w:r>
        <w:rPr>
          <w:rFonts w:cs="Arial Narrow" w:ascii="Arial Narrow" w:hAnsi="Arial Narrow"/>
          <w:b/>
          <w:sz w:val="18"/>
          <w:u w:val="single"/>
        </w:rPr>
        <w:t>Taxes</w:t>
      </w:r>
      <w:r>
        <w:rPr>
          <w:rFonts w:cs="Arial Narrow" w:ascii="Arial Narrow" w:hAnsi="Arial Narrow"/>
          <w:sz w:val="18"/>
        </w:rPr>
        <w:t xml:space="preserve">.  (a)  </w:t>
      </w:r>
      <w:r>
        <w:rPr>
          <w:rFonts w:cs="Arial Narrow" w:ascii="Arial Narrow" w:hAnsi="Arial Narrow"/>
          <w:sz w:val="18"/>
          <w:u w:val="single"/>
        </w:rPr>
        <w:t>Payor Representations.</w:t>
      </w:r>
      <w:r>
        <w:rPr>
          <w:rFonts w:cs="Arial Narrow" w:ascii="Arial Narrow" w:hAnsi="Arial Narrow"/>
          <w:sz w:val="18"/>
        </w:rPr>
        <w:t xml:space="preserve">  In connection with making all payments under this Confirmation, each party makes the following payor representations: (1) It is not required by any applicable law, as modified by the practice of any relevant governmental revenue authority, of any Relevant Jurisdiction, to make any deduction or withholding for or on account of any tax from any payment (other than any interest payments under this Confirmation) to be made by it to the other party under this Confirmation.  In making this representation, it may rely on the accuracy of the tax representations and covenants made by the other party; and (2) for purposes of this representation, "</w:t>
      </w:r>
      <w:r>
        <w:rPr>
          <w:rFonts w:cs="Arial Narrow" w:ascii="Arial Narrow" w:hAnsi="Arial Narrow"/>
          <w:i/>
          <w:sz w:val="18"/>
          <w:u w:val="single"/>
        </w:rPr>
        <w:t>Relevant Jurisdiction</w:t>
      </w:r>
      <w:r>
        <w:rPr>
          <w:rFonts w:cs="Arial Narrow" w:ascii="Arial Narrow" w:hAnsi="Arial Narrow"/>
          <w:sz w:val="18"/>
        </w:rPr>
        <w:t>" means any jurisdiction (A) in which the party is incorporated, organized, managed and controlled, or is considered to have a seat, (B) where a branch or office through which the party is acting for purposes of this Confirmation is located, (C) in which the party executes this Confirmation or (D) in relation to any payment, from or through which payment is made.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(b)  </w:t>
      </w:r>
      <w:r>
        <w:rPr>
          <w:rFonts w:cs="Arial Narrow" w:ascii="Arial Narrow" w:hAnsi="Arial Narrow"/>
          <w:sz w:val="18"/>
          <w:u w:val="single"/>
        </w:rPr>
        <w:t>Payee Representations</w:t>
      </w:r>
      <w:r>
        <w:rPr>
          <w:rFonts w:cs="Arial Narrow" w:ascii="Arial Narrow" w:hAnsi="Arial Narrow"/>
          <w:sz w:val="18"/>
        </w:rPr>
        <w:t>.  In connection with receiving all payments under this Confirmation, each party makes the following payee representations:  (1) 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Confirmation, and no such payment is attributable to a trade or business carried on by it through a permanent establishment in the Specified Jurisdiction; and (2) with respect to Counterparty, "</w:t>
      </w:r>
      <w:r>
        <w:rPr>
          <w:rFonts w:cs="Arial Narrow" w:ascii="Arial Narrow" w:hAnsi="Arial Narrow"/>
          <w:i/>
          <w:sz w:val="18"/>
          <w:u w:val="single"/>
        </w:rPr>
        <w:t>Specified Treaty</w:t>
      </w:r>
      <w:r>
        <w:rPr>
          <w:rFonts w:cs="Arial Narrow" w:ascii="Arial Narrow" w:hAnsi="Arial Narrow"/>
          <w:sz w:val="18"/>
        </w:rPr>
        <w:t>" means the income tax treaty between the United States and Canada, and "</w:t>
      </w:r>
      <w:r>
        <w:rPr>
          <w:rFonts w:cs="Arial Narrow" w:ascii="Arial Narrow" w:hAnsi="Arial Narrow"/>
          <w:i/>
          <w:sz w:val="18"/>
          <w:u w:val="single"/>
        </w:rPr>
        <w:t>Specified Jurisdiction</w:t>
      </w:r>
      <w:r>
        <w:rPr>
          <w:rFonts w:cs="Arial Narrow" w:ascii="Arial Narrow" w:hAnsi="Arial Narrow"/>
          <w:sz w:val="18"/>
        </w:rPr>
        <w:t>" means United States; and (3) with respect to ENA, "</w:t>
      </w:r>
      <w:r>
        <w:rPr>
          <w:rFonts w:cs="Arial Narrow" w:ascii="Arial Narrow" w:hAnsi="Arial Narrow"/>
          <w:i/>
          <w:sz w:val="18"/>
          <w:u w:val="single"/>
        </w:rPr>
        <w:t>Specified Treaty</w:t>
      </w:r>
      <w:r>
        <w:rPr>
          <w:rFonts w:cs="Arial Narrow" w:ascii="Arial Narrow" w:hAnsi="Arial Narrow"/>
          <w:sz w:val="18"/>
        </w:rPr>
        <w:t>" means the income tax treaty between the United States and Canada, and "</w:t>
      </w:r>
      <w:r>
        <w:rPr>
          <w:rFonts w:cs="Arial Narrow" w:ascii="Arial Narrow" w:hAnsi="Arial Narrow"/>
          <w:i/>
          <w:sz w:val="18"/>
          <w:u w:val="single"/>
        </w:rPr>
        <w:t>Specified Jurisdiction</w:t>
      </w:r>
      <w:r>
        <w:rPr>
          <w:rFonts w:cs="Arial Narrow" w:ascii="Arial Narrow" w:hAnsi="Arial Narrow"/>
          <w:sz w:val="18"/>
        </w:rPr>
        <w:t>" means Canada.</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(c)  </w:t>
      </w:r>
      <w:r>
        <w:rPr>
          <w:rFonts w:cs="Arial Narrow" w:ascii="Arial Narrow" w:hAnsi="Arial Narrow"/>
          <w:sz w:val="18"/>
          <w:u w:val="single"/>
        </w:rPr>
        <w:t>Changes in Representation</w:t>
      </w:r>
      <w:r>
        <w:rPr>
          <w:rFonts w:cs="Arial Narrow" w:ascii="Arial Narrow" w:hAnsi="Arial Narrow"/>
          <w:sz w:val="18"/>
        </w:rPr>
        <w:t>.  If any representation made under this Section becomes untrue or inaccurate during the term of this Confirmation, the party whose representation has changed shall promptly give the other party written notice of such change.</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(d)  </w:t>
      </w:r>
      <w:r>
        <w:rPr>
          <w:rFonts w:cs="Arial Narrow" w:ascii="Arial Narrow" w:hAnsi="Arial Narrow"/>
          <w:sz w:val="18"/>
          <w:u w:val="single"/>
        </w:rPr>
        <w:t>Withholding Tax Exemption Form</w:t>
      </w:r>
      <w:r>
        <w:rPr>
          <w:rFonts w:cs="Arial Narrow" w:ascii="Arial Narrow" w:hAnsi="Arial Narrow"/>
          <w:sz w:val="18"/>
        </w:rPr>
        <w:t>.  Upon request, each party shall provide the other party with a properly completed and executed exemption form, certificate or other document that will allow the other party to make any payment hereunder without deduction or withholding for taxes, including, but not limited to, Internal Revenue Service Forms reasonably requested.</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(e)  </w:t>
      </w:r>
      <w:r>
        <w:rPr>
          <w:rFonts w:cs="Arial Narrow" w:ascii="Arial Narrow" w:hAnsi="Arial Narrow"/>
          <w:sz w:val="18"/>
          <w:u w:val="single"/>
        </w:rPr>
        <w:t>Gross-Up</w:t>
      </w:r>
      <w:r>
        <w:rPr>
          <w:rFonts w:cs="Arial Narrow" w:ascii="Arial Narrow" w:hAnsi="Arial Narrow"/>
          <w:sz w:val="18"/>
        </w:rPr>
        <w:t>.  All payments under this Confirmation will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will: (1) promptly notify the other party ("Y") of such requirement; (2) pay to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(3) promptly forward to Y an official receipt (or a certified copy) or other documentation reasonably acceptable to Y evidencing such payment to such authorities; and  (4) if such Tax is an Indemnifiable Tax, pay to Y, in addition to the payment to which Y is otherwise entitled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(f)  </w:t>
      </w:r>
      <w:r>
        <w:rPr>
          <w:rFonts w:cs="Arial Narrow" w:ascii="Arial Narrow" w:hAnsi="Arial Narrow"/>
          <w:sz w:val="18"/>
          <w:u w:val="single"/>
        </w:rPr>
        <w:t>Liability</w:t>
      </w:r>
      <w:r>
        <w:rPr>
          <w:rFonts w:cs="Arial Narrow" w:ascii="Arial Narrow" w:hAnsi="Arial Narrow"/>
          <w:sz w:val="18"/>
        </w:rPr>
        <w:t>.  If: (1) X is required by any applicable law, as modified by the practice of any relevant governmental revenue authority, to make any deduction or withholding in respect of which X would not be required to pay an additional amount to Y under Subsection (e)(4); (2)  X does not so deduct or withhold; and (3) a liability resulting from such Tax is assessed directly against X, then, except to the extent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(g)  </w:t>
      </w:r>
      <w:r>
        <w:rPr>
          <w:rFonts w:cs="Arial Narrow" w:ascii="Arial Narrow" w:hAnsi="Arial Narrow"/>
          <w:sz w:val="18"/>
          <w:u w:val="single"/>
        </w:rPr>
        <w:t>Change in Tax Law</w:t>
      </w:r>
      <w:r>
        <w:rPr>
          <w:rFonts w:cs="Arial Narrow" w:ascii="Arial Narrow" w:hAnsi="Arial Narrow"/>
          <w:sz w:val="18"/>
        </w:rPr>
        <w:t>.  If, as a result of a Change in Tax Law, Counterparty or ENA will, or there is a substantial likelihood that it will, on the next succeeding payment date (1) be required to pay to the other party an additional amount in respect of an Indemnifiable Tax (except in respect of any interest payable under the Confirmation), or (2) 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Annex A.  For purposes of calculating Gains, Losses and Costs under Section 4 of Annex A, the party designating the Early Termination Date as a result of a Change in Tax Law shall be treated as the Defaulting Party, and the other party shall be treated as the non-defaulting party.</w:t>
      </w:r>
    </w:p>
    <w:p>
      <w:pPr>
        <w:pStyle w:val="Normal"/>
        <w:tabs>
          <w:tab w:val="clear" w:pos="720"/>
          <w:tab w:val="left" w:pos="531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pPr>
      <w:r>
        <w:rPr>
          <w:rFonts w:cs="Arial Narrow" w:ascii="Arial Narrow" w:hAnsi="Arial Narrow"/>
          <w:sz w:val="18"/>
        </w:rPr>
        <w:t xml:space="preserve">(h)  </w:t>
      </w:r>
      <w:r>
        <w:rPr>
          <w:rFonts w:cs="Arial Narrow" w:ascii="Arial Narrow" w:hAnsi="Arial Narrow"/>
          <w:sz w:val="18"/>
          <w:u w:val="single"/>
        </w:rPr>
        <w:t>Miscellaneous</w:t>
      </w:r>
      <w:r>
        <w:rPr>
          <w:rFonts w:cs="Arial Narrow" w:ascii="Arial Narrow" w:hAnsi="Arial Narrow"/>
          <w:sz w:val="18"/>
        </w:rPr>
        <w:t>.  The representations set forth in this Section supersede and replace the representations in Sections 1(a)(iii) and 1(a)(iv) of Annex A.  It shall not be an Event of Default under this Confirmation if any of the representations or warranties contained in this Section prove to have been false or misleading in any material respect or if a party breaches any agreement or covenant in this Section.</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pPr>
      <w:r>
        <w:rPr>
          <w:rFonts w:cs="Arial Narrow" w:ascii="Arial Narrow" w:hAnsi="Arial Narrow"/>
          <w:sz w:val="18"/>
        </w:rPr>
        <w:t xml:space="preserve">(i)  </w:t>
      </w:r>
      <w:r>
        <w:rPr>
          <w:rFonts w:cs="Arial Narrow" w:ascii="Arial Narrow" w:hAnsi="Arial Narrow"/>
          <w:sz w:val="18"/>
          <w:u w:val="single"/>
        </w:rPr>
        <w:t>Definitions</w:t>
      </w:r>
      <w:r>
        <w:rPr>
          <w:rFonts w:cs="Arial Narrow" w:ascii="Arial Narrow" w:hAnsi="Arial Narrow"/>
          <w:sz w:val="18"/>
        </w:rPr>
        <w:t>.  As used in this Section:</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this Confirmation, other than a stamp, registration, documentation or similar tax.</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shall mean any Tax, other than a Tax that would not be imposed in respect of a payment made under this Confirmation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(1) being or having been a citizen or resident of, (2) being or having been organized in, (3) being or having been present or engaged in a trade or business in or (4) having or having had a permanent establishment or fixed place of business in, that jurisdiction), but excluding a connection arising solely from that recipient's or related person's having executed, delivered, enforced or performed obligations or received a payment under this Confirmation or any related credit support document.</w:t>
      </w:r>
    </w:p>
    <w:p>
      <w:pPr>
        <w:pStyle w:val="Normal"/>
        <w:tabs>
          <w:tab w:val="clear" w:pos="720"/>
          <w:tab w:val="left" w:pos="531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w:t>
      </w:r>
      <w:r>
        <w:rPr>
          <w:rFonts w:cs="Arial Narrow" w:ascii="Arial Narrow" w:hAnsi="Arial Narrow"/>
          <w:i/>
          <w:sz w:val="18"/>
          <w:u w:val="single"/>
        </w:rPr>
        <w:t>Change in Tax Law</w:t>
      </w:r>
      <w:r>
        <w:rPr>
          <w:rFonts w:cs="Arial Narrow" w:ascii="Arial Narrow" w:hAnsi="Arial Narrow"/>
          <w:sz w:val="18"/>
        </w:rPr>
        <w:t>" shall mean any proposed or final rulemaking published by a taxing authority, or a final decision of a court of competent jurisdiction, after the date hereof (regardless of whether such rulemaking or final decision is made with respect to a party to this Confirmation),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ENA) after the date hereof.</w:t>
      </w:r>
    </w:p>
    <w:p>
      <w:pPr>
        <w:pStyle w:val="Normal"/>
        <w:tabs>
          <w:tab w:val="clear" w:pos="720"/>
          <w:tab w:val="left" w:pos="5310" w:leader="none"/>
        </w:tabs>
        <w:ind w:end="198"/>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2.  </w:t>
      </w:r>
      <w:r>
        <w:rPr>
          <w:rFonts w:cs="Arial Narrow" w:ascii="Arial Narrow" w:hAnsi="Arial Narrow"/>
          <w:b/>
          <w:sz w:val="18"/>
          <w:u w:val="single"/>
        </w:rPr>
        <w:t>Interest Rate</w:t>
      </w:r>
      <w:r>
        <w:rPr>
          <w:rFonts w:cs="Arial Narrow" w:ascii="Arial Narrow" w:hAnsi="Arial Narrow"/>
          <w:b/>
          <w:sz w:val="18"/>
        </w:rPr>
        <w:t>.</w:t>
      </w:r>
      <w:r>
        <w:rPr>
          <w:rFonts w:cs="Arial Narrow" w:ascii="Arial Narrow" w:hAnsi="Arial Narrow"/>
          <w:sz w:val="18"/>
        </w:rPr>
        <w:t xml:space="preserve">  An Interest Rate expressed as an annual rate shall, to comply with applicable law, be equivalent to such interest rate multiplied by the actual number of days in the calendar year in which the same is to be determined and divided by 365/366, as the case may be.  The Interest Rate shall not exceed the maximum interest rate that at any time or from time to time may be contracted for, taken, reserved, charged, or received under applicable law.</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3.  </w:t>
      </w:r>
      <w:r>
        <w:rPr>
          <w:rFonts w:cs="Arial Narrow" w:ascii="Arial Narrow" w:hAnsi="Arial Narrow"/>
          <w:b/>
          <w:sz w:val="18"/>
          <w:u w:val="single"/>
        </w:rPr>
        <w:t>Currency Provisions</w:t>
      </w:r>
      <w:r>
        <w:rPr>
          <w:rFonts w:cs="Arial Narrow" w:ascii="Arial Narrow" w:hAnsi="Arial Narrow"/>
          <w:sz w:val="18"/>
        </w:rPr>
        <w:t>.  Each payment under this Confirmation will be made in the Contractual Currency.  To the extent permitted by applicable law, if any judgment or order expressed in a currency other than the Contractual Currency is rendered for the payment of any amount owing under this Confirmation,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tabs>
          <w:tab w:val="clear" w:pos="720"/>
          <w:tab w:val="left" w:pos="5310" w:leader="none"/>
        </w:tabs>
        <w:ind w:end="198"/>
        <w:jc w:val="both"/>
        <w:rPr>
          <w:rFonts w:ascii="Arial Narrow" w:hAnsi="Arial Narrow" w:cs="Arial Narrow"/>
          <w:sz w:val="18"/>
        </w:rPr>
      </w:pPr>
      <w:r>
        <w:rPr>
          <w:rFonts w:cs="Arial Narrow" w:ascii="Arial Narrow" w:hAnsi="Arial Narrow"/>
          <w:sz w:val="18"/>
        </w:rPr>
      </w:r>
    </w:p>
    <w:p>
      <w:pPr>
        <w:pStyle w:val="Normal"/>
        <w:tabs>
          <w:tab w:val="clear" w:pos="720"/>
          <w:tab w:val="left" w:pos="5310" w:leader="none"/>
        </w:tabs>
        <w:ind w:end="198"/>
        <w:jc w:val="both"/>
        <w:rPr/>
      </w:pPr>
      <w:r>
        <w:rPr>
          <w:rFonts w:cs="Arial Narrow" w:ascii="Arial Narrow" w:hAnsi="Arial Narrow"/>
          <w:sz w:val="18"/>
        </w:rPr>
        <w:t xml:space="preserve">4.  </w:t>
      </w:r>
      <w:r>
        <w:rPr>
          <w:rFonts w:cs="Arial Narrow" w:ascii="Arial Narrow" w:hAnsi="Arial Narrow"/>
          <w:b/>
          <w:sz w:val="18"/>
          <w:u w:val="single"/>
        </w:rPr>
        <w:t>Canadian Securities Acts</w:t>
      </w:r>
      <w:r>
        <w:rPr>
          <w:rFonts w:cs="Arial Narrow" w:ascii="Arial Narrow" w:hAnsi="Arial Narrow"/>
          <w:sz w:val="18"/>
        </w:rPr>
        <w:t>.  Counterparty does hereby represent and warrant that each Transaction shall constitute an "OTC Derivative" as defined in paragraph 4 of the Alberta Securities Commission Order Doc#394043 and paragraph 1.1 of the British Columbia Securities Commission Blanket Order BOR#91-501 (BC), and it is a "Qualified Party" within the meaning of paragraphs 9.1 and 1.1 of such orders, respectively, as in effect on the date hereof.</w:t>
      </w:r>
    </w:p>
    <w:p>
      <w:pPr>
        <w:pStyle w:val="Normal"/>
        <w:rPr>
          <w:rFonts w:ascii="Arial Narrow" w:hAnsi="Arial Narrow" w:cs="Arial Narrow"/>
          <w:b/>
          <w:sz w:val="22"/>
        </w:rPr>
      </w:pPr>
      <w:r>
        <w:rPr>
          <w:rFonts w:cs="Arial Narrow" w:ascii="Arial Narrow" w:hAnsi="Arial Narrow"/>
          <w:b/>
          <w:sz w:val="22"/>
        </w:rPr>
      </w:r>
    </w:p>
    <w:sectPr>
      <w:type w:val="continuous"/>
      <w:pgSz w:w="12240" w:h="15840"/>
      <w:pgMar w:left="1152" w:right="864" w:gutter="0" w:header="720" w:top="864" w:footer="0" w:bottom="864"/>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t xml:space="preserve">                                                      </w:t>
    </w:r>
    <w:r>
      <w:rPr>
        <w:sz w:val="20"/>
      </w:rPr>
      <w:t xml:space="preserve">Deal No. </w:t>
    </w:r>
    <w:r>
      <w:rPr>
        <w:sz w:val="22"/>
      </w:rPr>
      <w:fldChar w:fldCharType="begin"/>
    </w:r>
    <w:r>
      <w:rPr>
        <w:sz w:val="22"/>
      </w:rPr>
      <w:instrText xml:space="preserve"> TITLE </w:instrText>
    </w:r>
    <w:r>
      <w:rPr>
        <w:sz w:val="22"/>
      </w:rPr>
      <w:fldChar w:fldCharType="separate"/>
    </w:r>
    <w:r>
      <w:rPr>
        <w:sz w:val="22"/>
      </w:rPr>
      <w:t>780481.01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center">
    <w:name w:val="center"/>
    <w:basedOn w:val="Normal"/>
    <w:qFormat/>
    <w:pPr>
      <w:jc w:val="center"/>
    </w:pPr>
    <w:rPr>
      <w:b/>
      <w:u w:val="single"/>
    </w:rPr>
  </w:style>
  <w:style w:type="paragraph" w:styleId="Subtitle">
    <w:name w:val="Subtitle"/>
    <w:basedOn w:val="Normal"/>
    <w:next w:val="BodyText"/>
    <w:qFormat/>
    <w:pPr>
      <w:jc w:val="center"/>
    </w:pPr>
    <w:rPr>
      <w:b/>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2001-10-02T13:31:00Z</dcterms:created>
  <dc:creator>ECT</dc:creator>
  <dc:description/>
  <dc:language>en-CA</dc:language>
  <cp:lastModifiedBy>khundl</cp:lastModifiedBy>
  <dcterms:modified xsi:type="dcterms:W3CDTF">2001-10-02T13:31:00Z</dcterms:modified>
  <cp:revision>2</cp:revision>
  <dc:subject/>
  <dc:title>780481.01</dc:title>
</cp:coreProperties>
</file>