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NRG Power Marketing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(612) 373-8820</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795072.01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1932617</w:t>
      </w:r>
      <w:r>
        <w:rPr>
          <w:sz w:val="22"/>
          <w:b/>
        </w:rPr>
        <w:fldChar w:fldCharType="end"/>
      </w:r>
    </w:p>
    <w:p>
      <w:pPr>
        <w:pStyle w:val="Normal"/>
        <w:rPr>
          <w:b/>
          <w:sz w:val="22"/>
        </w:rPr>
      </w:pPr>
      <w:r>
        <w:rPr>
          <w:b/>
          <w:sz w:val="22"/>
        </w:rPr>
      </w:r>
    </w:p>
    <w:p>
      <w:pPr>
        <w:pStyle w:val="Normal"/>
        <w:rPr>
          <w:sz w:val="22"/>
        </w:rPr>
      </w:pPr>
      <w:r>
        <w:rPr>
          <w:sz w:val="22"/>
        </w:rPr>
        <w:tab/>
        <w:t>The purpose of this letter agreement (together with the General Terms &amp; Conditions of Confirmation ("GTC") that you have accepted via EnronOnline and any attachments hereto, collectively the "Confirmation") is to confirm the terms and conditions of the transaction entered into between us on the Trade Date specified below (the "Transaction") whereby we accepted your offer to enter into the Transaction. The GTC is hereby made a part hereof and incorporated herein by reference.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October 2,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October 5,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 xml:space="preserve">Tuesday, October 2, 2001 through Friday, October 5, 2001. </w:t>
              <w:t xml:space="preserve">Hour Ending (HE) 0800 through HE 2300 (16 Hours each day), </w:t>
              <w:t xml:space="preserve">Monday through Friday only, excluding holidays of the North American Electric Reliability Council; Eastern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$29.15/MWh.</w:t>
            </w:r>
            <w:r>
              <w:rPr>
                <w:sz w:val="22"/>
              </w:rPr>
              <w:fldChar w:fldCharType="end"/>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West (61752)” (Zone A) for electricity delivered during the applicable Determination Period.</w:t>
            </w:r>
            <w:r>
              <w:rPr>
                <w:sz w:val="22"/>
              </w:rPr>
              <w:fldChar w:fldCharType="end"/>
            </w:r>
          </w:p>
        </w:tc>
      </w:tr>
      <w:tr>
        <w:trPr/>
        <w:tc>
          <w:tcPr>
            <w:tcW w:w="4338" w:type="dxa"/>
            <w:tcBorders/>
          </w:tcPr>
          <w:p>
            <w:pPr>
              <w:pStyle w:val="Normal"/>
              <w:rPr>
                <w:sz w:val="22"/>
              </w:rPr>
            </w:pPr>
            <w:r>
              <w:rPr>
                <w:sz w:val="22"/>
              </w:rPr>
              <w:t xml:space="preserve">           </w:t>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sz w:val="22"/>
              </w:rPr>
            </w:pPr>
            <w:r>
              <w:rPr>
                <w:sz w:val="22"/>
              </w:rPr>
              <w:t>This Transaction is governed by the General Terms &amp; Conditions (“GTC”) that you have accepted via the Website.  This letter agreement is being provided pursuant to and in accordance with the GTC and constitutes part of and is subject to all of the provisions of the GTC.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firstLine="720" w:end="0"/>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NRG Power Marketing Inc.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October 08,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r>
        <w:br w:type="page"/>
      </w:r>
    </w:p>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r>
        <w:rPr>
          <w:b/>
          <w:sz w:val="22"/>
        </w:rPr>
        <w:fldChar w:fldCharType="begin"/>
      </w:r>
      <w:r>
        <w:rPr>
          <w:sz w:val="22"/>
          <w:b/>
        </w:rPr>
        <w:instrText xml:space="preserve"> MERGEFIELD EnronFax </w:instrText>
      </w:r>
      <w:r>
        <w:rPr>
          <w:sz w:val="22"/>
          <w:b/>
        </w:rPr>
        <w:fldChar w:fldCharType="separate"/>
      </w:r>
      <w:r>
        <w:rPr>
          <w:sz w:val="22"/>
          <w:b/>
        </w:rPr>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tabs>
        <w:tab w:val="clear" w:pos="8640"/>
        <w:tab w:val="center" w:pos="4320" w:leader="none"/>
        <w:tab w:val="right" w:pos="7200" w:leader="none"/>
      </w:tabs>
      <w:rPr/>
    </w:pPr>
    <w:r>
      <w:rPr/>
      <w:tab/>
      <w:tab/>
      <w:t xml:space="preserve">                                                      </w:t>
    </w:r>
    <w:r>
      <w:rPr>
        <w:sz w:val="20"/>
      </w:rPr>
      <w:t xml:space="preserve">Deal No. </w:t>
    </w:r>
    <w:r>
      <w:rPr>
        <w:sz w:val="22"/>
      </w:rPr>
      <w:fldChar w:fldCharType="begin"/>
    </w:r>
    <w:r>
      <w:rPr>
        <w:sz w:val="22"/>
      </w:rPr>
      <w:instrText xml:space="preserve"> TITLE </w:instrText>
    </w:r>
    <w:r>
      <w:rPr>
        <w:sz w:val="22"/>
      </w:rPr>
      <w:fldChar w:fldCharType="separate"/>
    </w:r>
    <w:r>
      <w:rPr>
        <w:sz w:val="22"/>
      </w:rPr>
      <w:t>795072.01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2001-10-08T13:18:00Z</dcterms:created>
  <dc:creator>ECT</dc:creator>
  <dc:description/>
  <dc:language>en-CA</dc:language>
  <cp:lastModifiedBy>khundl</cp:lastModifiedBy>
  <dcterms:modified xsi:type="dcterms:W3CDTF">2001-10-08T13:18:00Z</dcterms:modified>
  <cp:revision>2</cp:revision>
  <dc:subject/>
  <dc:title>795072.01</dc:title>
</cp:coreProperties>
</file>