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POWER CURVE 5: FORWARD POWER CONTINUES SOFTENING; IMPLICATIONS</w:t>
            </w:r>
            <w:r/>
            <w:r>
              <w:rPr>
                <w:lang w:val="en-CA"/>
              </w:rPr>
              <w:fldChar w:fldCharType="end"/>
            </w:r>
            <w:r>
              <w:rPr>
                <w:lang w:val="en-CA"/>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May 24, 2001</w:t>
            </w:r>
            <w:r/>
            <w:r>
              <w:rPr>
                <w:lang w:val="en-CA"/>
              </w:rPr>
              <w:fldChar w:fldCharType="end"/>
            </w:r>
            <w:r>
              <w:rPr>
                <w:lang w:val="en-CA"/>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lang w:val="en-CA"/>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212-816-2086</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tc>
        <w:tc>
          <w:tcPr>
            <w:tcW w:w="6957" w:type="dxa"/>
            <w:gridSpan w:val="2"/>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The Power Curve has softened since our last analysis (Power Curve 4, May 2).  Forward expectations are down 11%, 15% and 9% for 2001, 2002 and 2003, respectively.  The Spark Spread, an important measure of profit potential, has declined further: down 18%, 32% and 84%, respectively.</w:t>
            </w:r>
            <w:r>
              <w:rPr>
                <w:lang w:val="en-CA"/>
              </w:rPr>
            </w:r>
          </w:p>
          <w:p>
            <w:pPr>
              <w:pStyle w:val="SSBSummary"/>
              <w:numPr>
                <w:ilvl w:val="0"/>
                <w:numId w:val="1"/>
              </w:numPr>
              <w:ind w:hanging="0" w:start="0"/>
              <w:rPr>
                <w:lang w:val="en-CA"/>
              </w:rPr>
            </w:pPr>
            <w:r>
              <w:rPr>
                <w:lang w:val="en-CA"/>
              </w:rPr>
              <w:t>Shape of curve remains "backwardated" - decreasing from a peak this summer.</w:t>
            </w:r>
          </w:p>
          <w:p>
            <w:pPr>
              <w:pStyle w:val="SSBSummary"/>
              <w:numPr>
                <w:ilvl w:val="0"/>
                <w:numId w:val="1"/>
              </w:numPr>
              <w:ind w:hanging="0" w:start="0"/>
              <w:rPr>
                <w:lang w:val="en-CA"/>
              </w:rPr>
            </w:pPr>
            <w:r>
              <w:rPr>
                <w:lang w:val="en-CA"/>
              </w:rPr>
              <w:t>Softening trend has continued since January.  This period every region was affected with California and the West showing the largest declines.</w:t>
            </w:r>
          </w:p>
          <w:p>
            <w:pPr>
              <w:pStyle w:val="SSBSummary"/>
              <w:numPr>
                <w:ilvl w:val="0"/>
                <w:numId w:val="1"/>
              </w:numPr>
              <w:ind w:hanging="0" w:start="0"/>
              <w:rPr>
                <w:lang w:val="en-CA"/>
              </w:rPr>
            </w:pPr>
            <w:r>
              <w:rPr>
                <w:lang w:val="en-CA"/>
              </w:rPr>
              <w:t xml:space="preserve">Power Producers: most favorable commodity pricing environment this summer--continue to expect positive earnings surprises 2Q and perhaps 3Q. </w:t>
            </w:r>
          </w:p>
          <w:p>
            <w:pPr>
              <w:pStyle w:val="SSBSummary"/>
              <w:numPr>
                <w:ilvl w:val="0"/>
                <w:numId w:val="1"/>
              </w:numPr>
              <w:spacing w:before="0" w:after="60"/>
              <w:ind w:hanging="0" w:start="0"/>
              <w:rPr/>
            </w:pPr>
            <w:r>
              <w:rPr>
                <w:lang w:val="en-CA"/>
              </w:rPr>
              <w:t>Recommendation to investors:  Expect near-term strength in Producers keyed off of strong 2Q expectations.  Recommend shifting portfolio toward Energy Merchants as we move into the summer.  Maintain positive ratings on both groups of stocks given strong near-term earnings visibility.</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annual expectations DECLINE; quarterly expectations remain positive for the summer</w:t>
      </w:r>
    </w:p>
    <w:p>
      <w:pPr>
        <w:pStyle w:val="SSBBodyText"/>
        <w:rPr/>
      </w:pPr>
      <w:r>
        <w:rPr/>
        <w:t>The Power Curve has softened significantly since our last analysis -- Power Curve 4 on May 2.  As of May 17, forward power expectations have declined 11%, 15% and 9% for 2001, 2002 and 2003, respectively.  Forward prices now stand at $106.45 per megawatt-hour (MWh), $66.81 and $45.73, respectively.  The Spark Spread, a more important indicator of profitability for companies who own generating assets, has declined even further, down 18%, 32% and 84%, respectively, and now stands at $57.47, $20.82 and $0.64/MWh, for 2001, 2002, and 2003, respectively.</w:t>
      </w:r>
      <w:r>
        <mc:AlternateContent>
          <mc:Choice Requires="wps">
            <w:drawing>
              <wp:anchor behindDoc="0" distT="118745" distB="118745" distL="118745" distR="118745" simplePos="0" locked="0" layoutInCell="0" allowOverlap="1" relativeHeight="2">
                <wp:simplePos x="0" y="0"/>
                <wp:positionH relativeFrom="margin">
                  <wp:posOffset>-1216025</wp:posOffset>
                </wp:positionH>
                <wp:positionV relativeFrom="paragraph">
                  <wp:posOffset>119380</wp:posOffset>
                </wp:positionV>
                <wp:extent cx="1097280" cy="381000"/>
                <wp:effectExtent l="0" t="0" r="0" b="0"/>
                <wp:wrapSquare wrapText="bothSides"/>
                <wp:docPr id="5" name="Frame1"/>
                <a:graphic xmlns:a="http://schemas.openxmlformats.org/drawingml/2006/main">
                  <a:graphicData uri="http://schemas.microsoft.com/office/word/2010/wordprocessingShape">
                    <wps:wsp>
                      <wps:cNvSpPr txBox="1"/>
                      <wps:spPr>
                        <a:xfrm>
                          <a:off x="0" y="0"/>
                          <a:ext cx="1097280" cy="381000"/>
                        </a:xfrm>
                        <a:prstGeom prst="rect"/>
                        <a:solidFill>
                          <a:srgbClr val="FFFFFF">
                            <a:alpha val="0"/>
                          </a:srgbClr>
                        </a:solidFill>
                      </wps:spPr>
                      <wps:txbx>
                        <w:txbxContent>
                          <w:p>
                            <w:pPr>
                              <w:pStyle w:val="SSBBodyCallout"/>
                              <w:rPr/>
                            </w:pPr>
                            <w:r>
                              <w:rPr/>
                              <w:t>Expectations in 2001, 2002 and 2003 are declining</w:t>
                            </w:r>
                          </w:p>
                        </w:txbxContent>
                      </wps:txbx>
                      <wps:bodyPr anchor="t" lIns="0" tIns="0" rIns="0" bIns="0">
                        <a:noAutofit/>
                      </wps:bodyPr>
                    </wps:wsp>
                  </a:graphicData>
                </a:graphic>
              </wp:anchor>
            </w:drawing>
          </mc:Choice>
          <mc:Fallback>
            <w:pict>
              <v:rect fillcolor="#FFFFFF" style="position:absolute;rotation:-0;width:86.4pt;height:3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Expectations in 2001, 2002 and 2003 are declining</w:t>
                      </w:r>
                    </w:p>
                  </w:txbxContent>
                </v:textbox>
                <w10:wrap type="square"/>
              </v:rect>
            </w:pict>
          </mc:Fallback>
        </mc:AlternateContent>
      </w:r>
    </w:p>
    <w:p>
      <w:pPr>
        <w:pStyle w:val="SSBBodyText"/>
        <w:rPr>
          <w:b/>
        </w:rPr>
      </w:pPr>
      <w:r>
        <w:rPr>
          <w:b/>
        </w:rPr>
        <w:t>POWER PRICES ($/MWh) - Annual</w:t>
      </w:r>
    </w:p>
    <w:p>
      <w:pPr>
        <w:pStyle w:val="SSBBodyText"/>
        <w:rPr>
          <w:b/>
        </w:rPr>
      </w:pPr>
      <w:r>
        <w:rPr>
          <w:b/>
        </w:rPr>
        <w:t>Historical Comparisons ($/MWh)</w:t>
      </w:r>
    </w:p>
    <w:tbl>
      <w:tblPr>
        <w:tblW w:w="2340" w:type="dxa"/>
        <w:jc w:val="start"/>
        <w:tblInd w:w="108" w:type="dxa"/>
        <w:tblLayout w:type="fixed"/>
        <w:tblCellMar>
          <w:top w:w="0" w:type="dxa"/>
          <w:start w:w="108" w:type="dxa"/>
          <w:bottom w:w="0" w:type="dxa"/>
          <w:end w:w="108" w:type="dxa"/>
        </w:tblCellMar>
      </w:tblPr>
      <w:tblGrid>
        <w:gridCol w:w="1080"/>
        <w:gridCol w:w="1260"/>
      </w:tblGrid>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1998</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$36.49</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1999</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$40.87</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$65.61</w:t>
            </w:r>
          </w:p>
        </w:tc>
      </w:tr>
    </w:tbl>
    <w:p>
      <w:pPr>
        <w:pStyle w:val="SSBBodyText"/>
        <w:rPr>
          <w:b/>
        </w:rPr>
      </w:pPr>
      <w:r>
        <w:rPr>
          <w:b/>
        </w:rPr>
      </w:r>
    </w:p>
    <w:p>
      <w:pPr>
        <w:pStyle w:val="SSBBodyText"/>
        <w:rPr>
          <w:b/>
        </w:rPr>
      </w:pPr>
      <w:r>
        <w:rPr>
          <w:b/>
        </w:rPr>
        <w:t>Forward Price Expectations (and change from 5/2/01 to 5/17/01)</w:t>
      </w:r>
    </w:p>
    <w:p>
      <w:pPr>
        <w:pStyle w:val="SSBBodyCallout"/>
        <w:rPr>
          <w:b w:val="false"/>
          <w:sz w:val="2"/>
        </w:rPr>
      </w:pPr>
      <w:r>
        <w:rPr>
          <w:b w:val="false"/>
          <w:sz w:val="2"/>
        </w:rPr>
      </w:r>
      <w:r>
        <mc:AlternateContent>
          <mc:Choice Requires="wps">
            <w:drawing>
              <wp:anchor behindDoc="0" distT="118745" distB="118745" distL="118745" distR="118745" simplePos="0" locked="0" layoutInCell="0" allowOverlap="1" relativeHeight="3">
                <wp:simplePos x="0" y="0"/>
                <wp:positionH relativeFrom="page">
                  <wp:posOffset>727710</wp:posOffset>
                </wp:positionH>
                <wp:positionV relativeFrom="paragraph">
                  <wp:posOffset>27305</wp:posOffset>
                </wp:positionV>
                <wp:extent cx="1097280" cy="254000"/>
                <wp:effectExtent l="0" t="0" r="0" b="0"/>
                <wp:wrapSquare wrapText="bothSides"/>
                <wp:docPr id="6" name="Frame2"/>
                <a:graphic xmlns:a="http://schemas.openxmlformats.org/drawingml/2006/main">
                  <a:graphicData uri="http://schemas.microsoft.com/office/word/2010/wordprocessingShape">
                    <wps:wsp>
                      <wps:cNvSpPr txBox="1"/>
                      <wps:spPr>
                        <a:xfrm>
                          <a:off x="0" y="0"/>
                          <a:ext cx="1097280" cy="254000"/>
                        </a:xfrm>
                        <a:prstGeom prst="rect"/>
                        <a:solidFill>
                          <a:srgbClr val="FFFFFF">
                            <a:alpha val="0"/>
                          </a:srgbClr>
                        </a:solidFill>
                      </wps:spPr>
                      <wps:txbx>
                        <w:txbxContent>
                          <w:p>
                            <w:pPr>
                              <w:pStyle w:val="SSBBodyCallout"/>
                              <w:rPr/>
                            </w:pPr>
                            <w:r>
                              <w:rPr/>
                              <w:t>Comparisons peak this summer</w:t>
                            </w:r>
                          </w:p>
                        </w:txbxContent>
                      </wps:txbx>
                      <wps:bodyPr anchor="t" lIns="0" tIns="0" rIns="0" bIns="0">
                        <a:noAutofit/>
                      </wps:bodyPr>
                    </wps:wsp>
                  </a:graphicData>
                </a:graphic>
              </wp:anchor>
            </w:drawing>
          </mc:Choice>
          <mc:Fallback>
            <w:pict>
              <v:rect fillcolor="#FFFFFF" style="position:absolute;rotation:-0;width:86.4pt;height:20pt;mso-wrap-distance-left:9.35pt;mso-wrap-distance-right:9.35pt;mso-wrap-distance-top:9.35pt;mso-wrap-distance-bottom:9.35pt;margin-top:2.15pt;mso-position-vertical-relative:text;margin-left:57.3pt;mso-position-horizontal-relative:page">
                <v:fill opacity="0f"/>
                <v:textbox inset="0in,0in,0in,0in">
                  <w:txbxContent>
                    <w:p>
                      <w:pPr>
                        <w:pStyle w:val="SSBBodyCallout"/>
                        <w:rPr/>
                      </w:pPr>
                      <w:r>
                        <w:rPr/>
                        <w:t>Comparisons peak this summer</w:t>
                      </w:r>
                    </w:p>
                  </w:txbxContent>
                </v:textbox>
                <w10:wrap type="square"/>
              </v:rect>
            </w:pict>
          </mc:Fallback>
        </mc:AlternateContent>
      </w:r>
    </w:p>
    <w:tbl>
      <w:tblPr>
        <w:tblW w:w="4230" w:type="dxa"/>
        <w:jc w:val="start"/>
        <w:tblInd w:w="108" w:type="dxa"/>
        <w:tblLayout w:type="fixed"/>
        <w:tblCellMar>
          <w:top w:w="0" w:type="dxa"/>
          <w:start w:w="108" w:type="dxa"/>
          <w:bottom w:w="0" w:type="dxa"/>
          <w:end w:w="108" w:type="dxa"/>
        </w:tblCellMar>
      </w:tblPr>
      <w:tblGrid>
        <w:gridCol w:w="1080"/>
        <w:gridCol w:w="1260"/>
        <w:gridCol w:w="1890"/>
      </w:tblGrid>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2001</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$106.45</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$13.36 (11%)</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2002</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$66.81</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$11.68 (15%)</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2003</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$45.73</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$4.56 (9%)</w:t>
            </w:r>
          </w:p>
        </w:tc>
      </w:tr>
    </w:tbl>
    <w:p>
      <w:pPr>
        <w:pStyle w:val="SSBBodyText"/>
        <w:rPr/>
      </w:pPr>
      <w:r>
        <w:rPr/>
      </w:r>
    </w:p>
    <w:p>
      <w:pPr>
        <w:pStyle w:val="SSBBodyText"/>
        <w:rPr>
          <w:b/>
        </w:rPr>
      </w:pPr>
      <w:r>
        <w:rPr>
          <w:b/>
        </w:rPr>
        <w:t>SPARK SPREAD ($/MWh) (spread between power &amp; gas, assuming 10,000 heat rate)</w:t>
      </w:r>
    </w:p>
    <w:p>
      <w:pPr>
        <w:pStyle w:val="SSBBodyText"/>
        <w:rPr/>
      </w:pPr>
      <w:r>
        <w:rPr/>
        <w:t>Historical Comparisons</w:t>
      </w:r>
    </w:p>
    <w:tbl>
      <w:tblPr>
        <w:tblW w:w="2340" w:type="dxa"/>
        <w:jc w:val="start"/>
        <w:tblInd w:w="108" w:type="dxa"/>
        <w:tblLayout w:type="fixed"/>
        <w:tblCellMar>
          <w:top w:w="0" w:type="dxa"/>
          <w:start w:w="108" w:type="dxa"/>
          <w:bottom w:w="0" w:type="dxa"/>
          <w:end w:w="108" w:type="dxa"/>
        </w:tblCellMar>
      </w:tblPr>
      <w:tblGrid>
        <w:gridCol w:w="1080"/>
        <w:gridCol w:w="1260"/>
      </w:tblGrid>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1998</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$14.89</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1999</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$16.04</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$28.80</w:t>
            </w:r>
          </w:p>
        </w:tc>
      </w:tr>
    </w:tbl>
    <w:p>
      <w:pPr>
        <w:pStyle w:val="SSBBodyText"/>
        <w:rPr>
          <w:b/>
        </w:rPr>
      </w:pPr>
      <w:r>
        <w:rPr>
          <w:b/>
        </w:rPr>
      </w:r>
    </w:p>
    <w:p>
      <w:pPr>
        <w:pStyle w:val="SSBBodyText"/>
        <w:rPr>
          <w:b/>
        </w:rPr>
      </w:pPr>
      <w:r>
        <w:rPr>
          <w:b/>
        </w:rPr>
        <w:t>Forward Price Expectations (and change from 5/2/01 to 5/17/01)</w:t>
      </w:r>
    </w:p>
    <w:tbl>
      <w:tblPr>
        <w:tblW w:w="4230" w:type="dxa"/>
        <w:jc w:val="start"/>
        <w:tblInd w:w="108" w:type="dxa"/>
        <w:tblLayout w:type="fixed"/>
        <w:tblCellMar>
          <w:top w:w="0" w:type="dxa"/>
          <w:start w:w="108" w:type="dxa"/>
          <w:bottom w:w="0" w:type="dxa"/>
          <w:end w:w="108" w:type="dxa"/>
        </w:tblCellMar>
      </w:tblPr>
      <w:tblGrid>
        <w:gridCol w:w="1080"/>
        <w:gridCol w:w="1260"/>
        <w:gridCol w:w="1890"/>
      </w:tblGrid>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2001</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$57.47</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$11.38 (18%)</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2002</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$20.82</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$9.90 (32%)</w:t>
            </w:r>
          </w:p>
        </w:tc>
      </w:tr>
      <w:tr>
        <w:trPr>
          <w:trHeight w:val="240" w:hRule="exact"/>
        </w:trPr>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2003</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$0.64</w:t>
            </w:r>
          </w:p>
        </w:tc>
        <w:tc>
          <w:tcPr>
            <w:tcW w:w="189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down $3.34 (84%)</w:t>
            </w:r>
          </w:p>
        </w:tc>
      </w:tr>
    </w:tbl>
    <w:p>
      <w:pPr>
        <w:pStyle w:val="SSBBodyText"/>
        <w:rPr/>
      </w:pPr>
      <w:r>
        <w:rPr/>
      </w:r>
    </w:p>
    <w:p>
      <w:pPr>
        <w:pStyle w:val="SSBBodyText"/>
        <w:rPr/>
      </w:pPr>
      <w:r>
        <w:rPr/>
        <w:t>On a quarterly basis, the outlook remains positive this summer, with year/year expectations remaining dramatically high (although having softened) for both power prices and the spark spread.  By 4Q, however, we see expectations turning negative.  Forward spark spreads triple for 2Q -- $74.80 vs. $24.27, and more than double for 3Q -- $99.89 vs. $40.20, but 4Q shows a decline:  $25.41 vs. $49.62.</w:t>
      </w:r>
      <w:r>
        <mc:AlternateContent>
          <mc:Choice Requires="wps">
            <w:drawing>
              <wp:anchor behindDoc="0" distT="118745" distB="118745" distL="118745" distR="118745" simplePos="0" locked="0" layoutInCell="0" allowOverlap="1" relativeHeight="4">
                <wp:simplePos x="0" y="0"/>
                <wp:positionH relativeFrom="margin">
                  <wp:posOffset>-1216025</wp:posOffset>
                </wp:positionH>
                <wp:positionV relativeFrom="paragraph">
                  <wp:posOffset>119380</wp:posOffset>
                </wp:positionV>
                <wp:extent cx="1097280" cy="508000"/>
                <wp:effectExtent l="0" t="0" r="0" b="0"/>
                <wp:wrapSquare wrapText="bothSides"/>
                <wp:docPr id="7" name="Frame3"/>
                <a:graphic xmlns:a="http://schemas.openxmlformats.org/drawingml/2006/main">
                  <a:graphicData uri="http://schemas.microsoft.com/office/word/2010/wordprocessingShape">
                    <wps:wsp>
                      <wps:cNvSpPr txBox="1"/>
                      <wps:spPr>
                        <a:xfrm>
                          <a:off x="0" y="0"/>
                          <a:ext cx="1097280" cy="508000"/>
                        </a:xfrm>
                        <a:prstGeom prst="rect"/>
                        <a:solidFill>
                          <a:srgbClr val="FFFFFF">
                            <a:alpha val="0"/>
                          </a:srgbClr>
                        </a:solidFill>
                      </wps:spPr>
                      <wps:txbx>
                        <w:txbxContent>
                          <w:p>
                            <w:pPr>
                              <w:pStyle w:val="SSBBodyCallout"/>
                              <w:rPr/>
                            </w:pPr>
                            <w:r>
                              <w:rPr/>
                              <w:t xml:space="preserve">Quarterly comparisons peak this summer, </w:t>
                            </w:r>
                          </w:p>
                          <w:p>
                            <w:pPr>
                              <w:pStyle w:val="SSBBodyCallout"/>
                              <w:rPr/>
                            </w:pPr>
                            <w:r>
                              <w:rPr/>
                              <w:t>decline 4Q</w:t>
                            </w:r>
                          </w:p>
                        </w:txbxContent>
                      </wps:txbx>
                      <wps:bodyPr anchor="t" lIns="0" tIns="0" rIns="0" bIns="0">
                        <a:noAutofit/>
                      </wps:bodyPr>
                    </wps:wsp>
                  </a:graphicData>
                </a:graphic>
              </wp:anchor>
            </w:drawing>
          </mc:Choice>
          <mc:Fallback>
            <w:pict>
              <v:rect fillcolor="#FFFFFF" style="position:absolute;rotation:-0;width:86.4pt;height:4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 xml:space="preserve">Quarterly comparisons peak this summer, </w:t>
                      </w:r>
                    </w:p>
                    <w:p>
                      <w:pPr>
                        <w:pStyle w:val="SSBBodyCallout"/>
                        <w:rPr/>
                      </w:pPr>
                      <w:r>
                        <w:rPr/>
                        <w:t>decline 4Q</w:t>
                      </w:r>
                    </w:p>
                  </w:txbxContent>
                </v:textbox>
                <w10:wrap type="square"/>
              </v:rect>
            </w:pict>
          </mc:Fallback>
        </mc:AlternateContent>
      </w:r>
    </w:p>
    <w:p>
      <w:pPr>
        <w:pStyle w:val="SSBBodyText"/>
        <w:rPr>
          <w:b/>
        </w:rPr>
      </w:pPr>
      <w:r>
        <w:rPr>
          <w:b/>
        </w:rPr>
        <w:t>Quarterly Expectations - Power</w:t>
      </w:r>
    </w:p>
    <w:tbl>
      <w:tblPr>
        <w:tblW w:w="6705" w:type="dxa"/>
        <w:jc w:val="start"/>
        <w:tblInd w:w="0" w:type="dxa"/>
        <w:tblLayout w:type="fixed"/>
        <w:tblCellMar>
          <w:top w:w="0" w:type="dxa"/>
          <w:start w:w="108" w:type="dxa"/>
          <w:bottom w:w="0" w:type="dxa"/>
          <w:end w:w="108" w:type="dxa"/>
        </w:tblCellMar>
      </w:tblPr>
      <w:tblGrid>
        <w:gridCol w:w="1341"/>
        <w:gridCol w:w="1341"/>
        <w:gridCol w:w="1341"/>
        <w:gridCol w:w="1341"/>
        <w:gridCol w:w="1341"/>
      </w:tblGrid>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1Q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2Q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3Q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4Q</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2000</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$28.75</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$57.18</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$79.92</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$104.59</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2001</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$105.65</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$121.46</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$143.71</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$74.59</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 Change</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267%</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112%</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80%</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(29)%</w:t>
            </w:r>
          </w:p>
        </w:tc>
      </w:tr>
    </w:tbl>
    <w:p>
      <w:pPr>
        <w:pStyle w:val="SSBBodyText"/>
        <w:rPr/>
      </w:pPr>
      <w:r>
        <w:rPr/>
      </w:r>
    </w:p>
    <w:p>
      <w:pPr>
        <w:pStyle w:val="SSBBodyText"/>
        <w:rPr/>
      </w:pPr>
      <w:r>
        <w:rPr/>
        <w:t>Quarterly Expectations - Spark Spread</w:t>
      </w:r>
    </w:p>
    <w:tbl>
      <w:tblPr>
        <w:tblW w:w="6705" w:type="dxa"/>
        <w:jc w:val="start"/>
        <w:tblInd w:w="0" w:type="dxa"/>
        <w:tblLayout w:type="fixed"/>
        <w:tblCellMar>
          <w:top w:w="0" w:type="dxa"/>
          <w:start w:w="108" w:type="dxa"/>
          <w:bottom w:w="0" w:type="dxa"/>
          <w:end w:w="108" w:type="dxa"/>
        </w:tblCellMar>
      </w:tblPr>
      <w:tblGrid>
        <w:gridCol w:w="1341"/>
        <w:gridCol w:w="1341"/>
        <w:gridCol w:w="1341"/>
        <w:gridCol w:w="1341"/>
        <w:gridCol w:w="1341"/>
      </w:tblGrid>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1Q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2Q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3Q</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rPr>
            </w:pPr>
            <w:r>
              <w:rPr>
                <w:b/>
              </w:rPr>
              <w:t>4Q</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2000</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$1.09</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$24.27</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$40.20</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$49.62</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2001</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$29.77</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$74.80</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$99.89</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i/>
                <w:i/>
              </w:rPr>
            </w:pPr>
            <w:r>
              <w:rPr>
                <w:i/>
              </w:rPr>
              <w:t>$25.41</w:t>
            </w:r>
          </w:p>
        </w:tc>
      </w:tr>
      <w:tr>
        <w:trPr>
          <w:trHeight w:val="240" w:hRule="exact"/>
        </w:trPr>
        <w:tc>
          <w:tcPr>
            <w:tcW w:w="134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t>% Change</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2631%</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208%</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148%</w:t>
            </w:r>
          </w:p>
        </w:tc>
        <w:tc>
          <w:tcPr>
            <w:tcW w:w="13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pPr>
            <w:r>
              <w:rPr/>
              <w:t>(49)%</w:t>
            </w:r>
          </w:p>
        </w:tc>
      </w:tr>
    </w:tbl>
    <w:p>
      <w:pPr>
        <w:pStyle w:val="SSBBodyText"/>
        <w:rPr>
          <w:sz w:val="20"/>
        </w:rPr>
      </w:pPr>
      <w:r>
        <w:rPr>
          <w:sz w:val="20"/>
        </w:rPr>
        <w:t>Note: Italics for 2Q:01, 3Q:01, and 4Q:01 represent prices in the forward markets.</w:t>
      </w:r>
    </w:p>
    <w:p>
      <w:pPr>
        <w:pStyle w:val="SSBBodyText"/>
        <w:rPr>
          <w:b/>
        </w:rPr>
      </w:pPr>
      <w:r>
        <w:rPr>
          <w:b/>
        </w:rPr>
        <w:t>IMPLICATIONS FOR INVESTORS:  LONG THE PRODUCERS THIS SUMMER, THEN SWITCH TO MERCHANTS</w:t>
      </w:r>
    </w:p>
    <w:p>
      <w:pPr>
        <w:pStyle w:val="SSBBodyText"/>
        <w:rPr/>
      </w:pPr>
      <w:r>
        <w:rPr/>
        <w:t>The strong summer commodity comparisons suggests the likelihood of further positive surprises, particularly 2Q, for Power Producers.  Post 3Q, commodity pricing comparisons turn negative.  In the face of a negative commodity environment, companies with the most aggressive hedging programs and greatest pipeline of new plant development projects will maintain the strongest earnings visibility.  For example, we expect CPN (1H-$53.20) to double its megawatt capacity this year, and grow capacity about 60% in 2002.  Coupled with an aggressive hedging program (85% this year, 55% next year and 40% in 2003), positive earnings momentum is likely to continue well past the summer, even in the face of a more challenging commodity pricing environment.  We also think NRG (1H-$33.60) is well positioned to demonstrate earnings visibility past this summer, given its strong project backlog and hedging program.  Overall, among Power Producers, we will look for those companies with strong project development pipelines and active, market-focused hedging programs.</w:t>
      </w:r>
      <w:r>
        <mc:AlternateContent>
          <mc:Choice Requires="wps">
            <w:drawing>
              <wp:anchor behindDoc="0" distT="118745" distB="118745" distL="118745" distR="118745" simplePos="0" locked="0" layoutInCell="0" allowOverlap="1" relativeHeight="5">
                <wp:simplePos x="0" y="0"/>
                <wp:positionH relativeFrom="page">
                  <wp:posOffset>453390</wp:posOffset>
                </wp:positionH>
                <wp:positionV relativeFrom="paragraph">
                  <wp:posOffset>49530</wp:posOffset>
                </wp:positionV>
                <wp:extent cx="1371600" cy="547370"/>
                <wp:effectExtent l="0" t="0" r="0" b="0"/>
                <wp:wrapSquare wrapText="bothSides"/>
                <wp:docPr id="8" name="Frame4"/>
                <a:graphic xmlns:a="http://schemas.openxmlformats.org/drawingml/2006/main">
                  <a:graphicData uri="http://schemas.microsoft.com/office/word/2010/wordprocessingShape">
                    <wps:wsp>
                      <wps:cNvSpPr txBox="1"/>
                      <wps:spPr>
                        <a:xfrm>
                          <a:off x="0" y="0"/>
                          <a:ext cx="1371600" cy="547370"/>
                        </a:xfrm>
                        <a:prstGeom prst="rect"/>
                        <a:solidFill>
                          <a:srgbClr val="FFFFFF">
                            <a:alpha val="0"/>
                          </a:srgbClr>
                        </a:solidFill>
                      </wps:spPr>
                      <wps:txbx>
                        <w:txbxContent>
                          <w:p>
                            <w:pPr>
                              <w:pStyle w:val="SSBBodyCallout"/>
                              <w:rPr/>
                            </w:pPr>
                            <w:r>
                              <w:rPr/>
                              <w:t>CPN  is well-positioned to maintain earnings visibility past this summer</w:t>
                            </w:r>
                          </w:p>
                        </w:txbxContent>
                      </wps:txbx>
                      <wps:bodyPr anchor="t" lIns="0" tIns="0" rIns="0" bIns="0">
                        <a:noAutofit/>
                      </wps:bodyPr>
                    </wps:wsp>
                  </a:graphicData>
                </a:graphic>
              </wp:anchor>
            </w:drawing>
          </mc:Choice>
          <mc:Fallback>
            <w:pict>
              <v:rect fillcolor="#FFFFFF" style="position:absolute;rotation:-0;width:108pt;height:43.1pt;mso-wrap-distance-left:9.35pt;mso-wrap-distance-right:9.35pt;mso-wrap-distance-top:9.35pt;mso-wrap-distance-bottom:9.35pt;margin-top:3.9pt;mso-position-vertical-relative:text;margin-left:35.7pt;mso-position-horizontal-relative:page">
                <v:fill opacity="0f"/>
                <v:textbox inset="0in,0in,0in,0in">
                  <w:txbxContent>
                    <w:p>
                      <w:pPr>
                        <w:pStyle w:val="SSBBodyCallout"/>
                        <w:rPr/>
                      </w:pPr>
                      <w:r>
                        <w:rPr/>
                        <w:t>CPN  is well-positioned to maintain earnings visibility past this summer</w:t>
                      </w:r>
                    </w:p>
                  </w:txbxContent>
                </v:textbox>
                <w10:wrap type="square"/>
              </v:rect>
            </w:pict>
          </mc:Fallback>
        </mc:AlternateContent>
      </w:r>
    </w:p>
    <w:p>
      <w:pPr>
        <w:pStyle w:val="SSBBodyText"/>
        <w:rPr/>
      </w:pPr>
      <w:r>
        <w:rPr/>
        <w:t>We are maintaining our positive ratings on both Power Producers and Energy Merchants at this time, in the face of a favorable near-term commodity price outlook.  However, we think Power Producers are likely to reach a seasonal peak relative to Energy Merchants this summer, and recommend lightening positions this summer and adding to positions in Energy Merchants.  Energy Merchants historically have shown much less earnings sensitivity to commodity prices since they primarily make money through trading and risk management, an activity which generates profits in both rising and falling commodity price environments.  Two “pure play” Energy Merchants -- Enron (ENE-1H) and Aquila (ILA-1H), have essentially zero earnings sensitivity to the level of commodity prices.  Profit margins remain steady in both rising and falling environments.  We especially think Enron is cheap given a cluster of events and concerns that have affected businesses at their periphery (e.g.:  India, 4% of assets), yet their core Merchant Energy (84% of earnings) platform remains solid. Others, such as Dynegy (DYN-1H; $54.85), Duke Energy (DUK-1M; $46.63) and El Paso (EPG-1H; $65.01), have very nimbly hedged and sold forward their generating capacity.  They are trading plant capacity like pork bellies, but the sophistication of their trading desks lets them make hedging decisions earlier than their peers, thereby locking in higher margins.  Such companies also aggressively match their long positions in power with offsetting long positions in natural gas.  We are particularly impressed with what Dynegy, Duke and El Paso have accomplished in this regard.</w:t>
      </w:r>
      <w:r>
        <mc:AlternateContent>
          <mc:Choice Requires="wps">
            <w:drawing>
              <wp:anchor behindDoc="0" distT="118745" distB="118745" distL="118745" distR="118745" simplePos="0" locked="0" layoutInCell="0" allowOverlap="1" relativeHeight="6">
                <wp:simplePos x="0" y="0"/>
                <wp:positionH relativeFrom="page">
                  <wp:posOffset>636270</wp:posOffset>
                </wp:positionH>
                <wp:positionV relativeFrom="paragraph">
                  <wp:posOffset>116205</wp:posOffset>
                </wp:positionV>
                <wp:extent cx="1207770" cy="400685"/>
                <wp:effectExtent l="0" t="0" r="0" b="0"/>
                <wp:wrapSquare wrapText="bothSides"/>
                <wp:docPr id="9" name="Frame5"/>
                <a:graphic xmlns:a="http://schemas.openxmlformats.org/drawingml/2006/main">
                  <a:graphicData uri="http://schemas.microsoft.com/office/word/2010/wordprocessingShape">
                    <wps:wsp>
                      <wps:cNvSpPr txBox="1"/>
                      <wps:spPr>
                        <a:xfrm>
                          <a:off x="0" y="0"/>
                          <a:ext cx="1207770" cy="400685"/>
                        </a:xfrm>
                        <a:prstGeom prst="rect"/>
                        <a:solidFill>
                          <a:srgbClr val="FFFFFF">
                            <a:alpha val="0"/>
                          </a:srgbClr>
                        </a:solidFill>
                      </wps:spPr>
                      <wps:txbx>
                        <w:txbxContent>
                          <w:p>
                            <w:pPr>
                              <w:pStyle w:val="SSBBodyCallout"/>
                              <w:rPr/>
                            </w:pPr>
                            <w:r>
                              <w:rPr/>
                              <w:t>Recommend ENE, ILA, DYN, EPG, DUK and MIR</w:t>
                            </w:r>
                          </w:p>
                        </w:txbxContent>
                      </wps:txbx>
                      <wps:bodyPr anchor="t" lIns="0" tIns="0" rIns="0" bIns="0">
                        <a:noAutofit/>
                      </wps:bodyPr>
                    </wps:wsp>
                  </a:graphicData>
                </a:graphic>
              </wp:anchor>
            </w:drawing>
          </mc:Choice>
          <mc:Fallback>
            <w:pict>
              <v:rect fillcolor="#FFFFFF" style="position:absolute;rotation:-0;width:95.1pt;height:31.55pt;mso-wrap-distance-left:9.35pt;mso-wrap-distance-right:9.35pt;mso-wrap-distance-top:9.35pt;mso-wrap-distance-bottom:9.35pt;margin-top:9.15pt;mso-position-vertical-relative:text;margin-left:50.1pt;mso-position-horizontal-relative:page">
                <v:fill opacity="0f"/>
                <v:textbox inset="0in,0in,0in,0in">
                  <w:txbxContent>
                    <w:p>
                      <w:pPr>
                        <w:pStyle w:val="SSBBodyCallout"/>
                        <w:rPr/>
                      </w:pPr>
                      <w:r>
                        <w:rPr/>
                        <w:t>Recommend ENE, ILA, DYN, EPG, DUK and MIR</w:t>
                      </w:r>
                    </w:p>
                  </w:txbxContent>
                </v:textbox>
                <w10:wrap type="square"/>
              </v:rect>
            </w:pict>
          </mc:Fallback>
        </mc:AlternateContent>
      </w:r>
    </w:p>
    <w:p>
      <w:pPr>
        <w:pStyle w:val="SSBBodyText"/>
        <w:rPr>
          <w:b/>
        </w:rPr>
      </w:pPr>
      <w:r>
        <w:rPr>
          <w:b/>
        </w:rPr>
        <w:t>VOLATILITY -- A SECOND ORDER FACTOR FOR ENERGY MERCHANTS, TO REMAIN STRONG</w:t>
      </w:r>
      <w:r>
        <mc:AlternateContent>
          <mc:Choice Requires="wps">
            <w:drawing>
              <wp:anchor behindDoc="0" distT="118745" distB="118745" distL="118745" distR="118745" simplePos="0" locked="0" layoutInCell="0" allowOverlap="1" relativeHeight="7">
                <wp:simplePos x="0" y="0"/>
                <wp:positionH relativeFrom="margin">
                  <wp:posOffset>-1216025</wp:posOffset>
                </wp:positionH>
                <wp:positionV relativeFrom="paragraph">
                  <wp:posOffset>119380</wp:posOffset>
                </wp:positionV>
                <wp:extent cx="1097280" cy="127000"/>
                <wp:effectExtent l="0" t="0" r="0" b="0"/>
                <wp:wrapSquare wrapText="bothSides"/>
                <wp:docPr id="10" name="Frame6"/>
                <a:graphic xmlns:a="http://schemas.openxmlformats.org/drawingml/2006/main">
                  <a:graphicData uri="http://schemas.microsoft.com/office/word/2010/wordprocessingShape">
                    <wps:wsp>
                      <wps:cNvSpPr txBox="1"/>
                      <wps:spPr>
                        <a:xfrm>
                          <a:off x="0" y="0"/>
                          <a:ext cx="1097280" cy="127000"/>
                        </a:xfrm>
                        <a:prstGeom prst="rect"/>
                        <a:solidFill>
                          <a:srgbClr val="FFFFFF">
                            <a:alpha val="0"/>
                          </a:srgbClr>
                        </a:solidFill>
                      </wps:spPr>
                      <wps:txbx>
                        <w:txbxContent>
                          <w:p>
                            <w:pPr>
                              <w:pStyle w:val="SSBBodyCallout"/>
                              <w:rPr/>
                            </w:pPr>
                            <w:r>
                              <w:rPr/>
                            </w:r>
                          </w:p>
                        </w:txbxContent>
                      </wps:txbx>
                      <wps:bodyPr anchor="t" lIns="0" tIns="0" rIns="0" bIns="0">
                        <a:noAutofit/>
                      </wps:bodyPr>
                    </wps:wsp>
                  </a:graphicData>
                </a:graphic>
              </wp:anchor>
            </w:drawing>
          </mc:Choice>
          <mc:Fallback>
            <w:pict>
              <v:rect fillcolor="#FFFFFF" style="position:absolute;rotation:-0;width:86.4pt;height:1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r>
                    </w:p>
                  </w:txbxContent>
                </v:textbox>
                <w10:wrap type="square"/>
              </v:rect>
            </w:pict>
          </mc:Fallback>
        </mc:AlternateContent>
      </w:r>
    </w:p>
    <w:p>
      <w:pPr>
        <w:pStyle w:val="SSBBodyText"/>
        <w:rPr/>
      </w:pPr>
      <w:r>
        <w:rPr/>
        <w:t>Volatility is a second order factor for Energy Merchants.  During 4Q:00 and 1Q:01, volatility ran at nearly double last year’s level, stimulating profitability of the energy trading desks of nearly every Energy Merchant we cover.  Energy Merchants get paid to manage volatility; the greater volatility is, the more money they make.  Although we have seen a decline in April and May volatility from 2000 levels, we expect that volatility should recover for the traditionally high summer season and continue to show shoulder-month strength as we move into the fall and winter.  For the full year, we expect 2001 volatility to match the already well above-normal volatility we saw during 2000.  We think volatility will gradually taper in 2002 and 2003.</w:t>
      </w:r>
      <w:r>
        <mc:AlternateContent>
          <mc:Choice Requires="wps">
            <w:drawing>
              <wp:anchor behindDoc="0" distT="118745" distB="118745" distL="118745" distR="118745" simplePos="0" locked="0" layoutInCell="0" allowOverlap="1" relativeHeight="8">
                <wp:simplePos x="0" y="0"/>
                <wp:positionH relativeFrom="margin">
                  <wp:posOffset>-1216025</wp:posOffset>
                </wp:positionH>
                <wp:positionV relativeFrom="paragraph">
                  <wp:posOffset>119380</wp:posOffset>
                </wp:positionV>
                <wp:extent cx="1097280" cy="254000"/>
                <wp:effectExtent l="0" t="0" r="0" b="0"/>
                <wp:wrapSquare wrapText="bothSides"/>
                <wp:docPr id="11" name="Frame7"/>
                <a:graphic xmlns:a="http://schemas.openxmlformats.org/drawingml/2006/main">
                  <a:graphicData uri="http://schemas.microsoft.com/office/word/2010/wordprocessingShape">
                    <wps:wsp>
                      <wps:cNvSpPr txBox="1"/>
                      <wps:spPr>
                        <a:xfrm>
                          <a:off x="0" y="0"/>
                          <a:ext cx="1097280" cy="254000"/>
                        </a:xfrm>
                        <a:prstGeom prst="rect"/>
                        <a:solidFill>
                          <a:srgbClr val="FFFFFF">
                            <a:alpha val="0"/>
                          </a:srgbClr>
                        </a:solidFill>
                      </wps:spPr>
                      <wps:txbx>
                        <w:txbxContent>
                          <w:p>
                            <w:pPr>
                              <w:pStyle w:val="SSBBodyCallout"/>
                              <w:rPr/>
                            </w:pPr>
                            <w:r>
                              <w:rPr/>
                              <w:t>Volatility to</w:t>
                            </w:r>
                          </w:p>
                          <w:p>
                            <w:pPr>
                              <w:pStyle w:val="SSBBodyCallout"/>
                              <w:rPr/>
                            </w:pPr>
                            <w:r>
                              <w:rPr>
                                <w:rFonts w:eastAsia="Arial"/>
                              </w:rPr>
                              <w:t xml:space="preserve"> </w:t>
                            </w:r>
                            <w:r>
                              <w:rPr/>
                              <w:t>remain strong</w:t>
                            </w:r>
                          </w:p>
                        </w:txbxContent>
                      </wps:txbx>
                      <wps:bodyPr anchor="t" lIns="0" tIns="0" rIns="0" bIns="0">
                        <a:noAutofit/>
                      </wps:bodyPr>
                    </wps:wsp>
                  </a:graphicData>
                </a:graphic>
              </wp:anchor>
            </w:drawing>
          </mc:Choice>
          <mc:Fallback>
            <w:pict>
              <v:rect fillcolor="#FFFFFF" style="position:absolute;rotation:-0;width:86.4pt;height:2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Volatility to</w:t>
                      </w:r>
                    </w:p>
                    <w:p>
                      <w:pPr>
                        <w:pStyle w:val="SSBBodyCallout"/>
                        <w:rPr/>
                      </w:pPr>
                      <w:r>
                        <w:rPr>
                          <w:rFonts w:eastAsia="Arial"/>
                        </w:rPr>
                        <w:t xml:space="preserve"> </w:t>
                      </w:r>
                      <w:r>
                        <w:rPr/>
                        <w:t>remain strong</w:t>
                      </w:r>
                    </w:p>
                  </w:txbxContent>
                </v:textbox>
                <w10:wrap type="square"/>
              </v:rect>
            </w:pict>
          </mc:Fallback>
        </mc:AlternateContent>
      </w:r>
    </w:p>
    <w:p>
      <w:pPr>
        <w:pStyle w:val="SSBBodyText"/>
        <w:rPr/>
      </w:pPr>
      <w:r>
        <w:rPr/>
        <w:t>Volatility is a second order effect.  Far more important in energy trading/marketing is origination of energy risk management products and services, such as new long-term hedges or tolling agreements with customers.  We track this in the form of physical volumes delivered.  Generally, profitability tracks volumes, which have grown industry-wide in the significant double-digit range, between 15% and 65% percent.  We expect 20%-40% growth from 2001-2003, tapering modestly thereafter, with growth driven by the opening of new markets such as Europe, and new commodities, such as weather hedges.  Bandwidth trading is incremental to our view.</w:t>
      </w:r>
      <w:r>
        <mc:AlternateContent>
          <mc:Choice Requires="wps">
            <w:drawing>
              <wp:anchor behindDoc="0" distT="118745" distB="118745" distL="118745" distR="118745" simplePos="0" locked="0" layoutInCell="0" allowOverlap="1" relativeHeight="9">
                <wp:simplePos x="0" y="0"/>
                <wp:positionH relativeFrom="margin">
                  <wp:posOffset>-1216025</wp:posOffset>
                </wp:positionH>
                <wp:positionV relativeFrom="paragraph">
                  <wp:posOffset>119380</wp:posOffset>
                </wp:positionV>
                <wp:extent cx="1097280" cy="381000"/>
                <wp:effectExtent l="0" t="0" r="0" b="0"/>
                <wp:wrapSquare wrapText="bothSides"/>
                <wp:docPr id="12" name="Frame8"/>
                <a:graphic xmlns:a="http://schemas.openxmlformats.org/drawingml/2006/main">
                  <a:graphicData uri="http://schemas.microsoft.com/office/word/2010/wordprocessingShape">
                    <wps:wsp>
                      <wps:cNvSpPr txBox="1"/>
                      <wps:spPr>
                        <a:xfrm>
                          <a:off x="0" y="0"/>
                          <a:ext cx="1097280" cy="381000"/>
                        </a:xfrm>
                        <a:prstGeom prst="rect"/>
                        <a:solidFill>
                          <a:srgbClr val="FFFFFF">
                            <a:alpha val="0"/>
                          </a:srgbClr>
                        </a:solidFill>
                      </wps:spPr>
                      <wps:txbx>
                        <w:txbxContent>
                          <w:p>
                            <w:pPr>
                              <w:pStyle w:val="SSBBodyCallout"/>
                              <w:rPr/>
                            </w:pPr>
                            <w:r>
                              <w:rPr/>
                              <w:t>Transaction volume growth to remain strong.</w:t>
                            </w:r>
                          </w:p>
                        </w:txbxContent>
                      </wps:txbx>
                      <wps:bodyPr anchor="t" lIns="0" tIns="0" rIns="0" bIns="0">
                        <a:noAutofit/>
                      </wps:bodyPr>
                    </wps:wsp>
                  </a:graphicData>
                </a:graphic>
              </wp:anchor>
            </w:drawing>
          </mc:Choice>
          <mc:Fallback>
            <w:pict>
              <v:rect fillcolor="#FFFFFF" style="position:absolute;rotation:-0;width:86.4pt;height:3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Transaction volume growth to remain strong.</w:t>
                      </w:r>
                    </w:p>
                  </w:txbxContent>
                </v:textbox>
                <w10:wrap type="square"/>
              </v:rect>
            </w:pict>
          </mc:Fallback>
        </mc:AlternateContent>
      </w:r>
    </w:p>
    <w:p>
      <w:pPr>
        <w:pStyle w:val="SSBBodyText"/>
        <w:rPr/>
      </w:pPr>
      <w:r>
        <w:rPr/>
        <w:t>So, given rapid growth in volumes, we expect volatility to be incrementally positive in 2001, with a modest, gradual decline toward “normal” levels in 2002 and 2003.  A crucial point is that volatility is nearly completely independent of the level of commodity prices.  A rapidly declining price environment can also create tremendous volatility and opportunity for Energy Merchants to employ their services. We attribute the rise in volatility in 2000-2001 not to the rise in power prices, but to the uncertainty created by political and credit risk, as well as the increasing correlation of gas and power prices, which has brought greater volatility to the gas markets.  Electricity is naturally about 7x more volatile than gas; as electricity prices “inject” their influence into the gas markets, they increase gas volatility.  As disturbing as the events in California are, we expect political and credit risk to gradually subside after peaking this summer, bringing volatility down somewhat in concert.</w:t>
      </w:r>
      <w:r>
        <mc:AlternateContent>
          <mc:Choice Requires="wps">
            <w:drawing>
              <wp:anchor behindDoc="0" distT="118745" distB="118745" distL="118745" distR="118745" simplePos="0" locked="0" layoutInCell="0" allowOverlap="1" relativeHeight="10">
                <wp:simplePos x="0" y="0"/>
                <wp:positionH relativeFrom="margin">
                  <wp:posOffset>-1216025</wp:posOffset>
                </wp:positionH>
                <wp:positionV relativeFrom="paragraph">
                  <wp:posOffset>119380</wp:posOffset>
                </wp:positionV>
                <wp:extent cx="1097280" cy="381000"/>
                <wp:effectExtent l="0" t="0" r="0" b="0"/>
                <wp:wrapSquare wrapText="bothSides"/>
                <wp:docPr id="13" name="Frame9"/>
                <a:graphic xmlns:a="http://schemas.openxmlformats.org/drawingml/2006/main">
                  <a:graphicData uri="http://schemas.microsoft.com/office/word/2010/wordprocessingShape">
                    <wps:wsp>
                      <wps:cNvSpPr txBox="1"/>
                      <wps:spPr>
                        <a:xfrm>
                          <a:off x="0" y="0"/>
                          <a:ext cx="1097280" cy="381000"/>
                        </a:xfrm>
                        <a:prstGeom prst="rect"/>
                        <a:solidFill>
                          <a:srgbClr val="FFFFFF">
                            <a:alpha val="0"/>
                          </a:srgbClr>
                        </a:solidFill>
                      </wps:spPr>
                      <wps:txbx>
                        <w:txbxContent>
                          <w:p>
                            <w:pPr>
                              <w:pStyle w:val="SSBBodyCallout"/>
                              <w:rPr/>
                            </w:pPr>
                            <w:r>
                              <w:rPr/>
                              <w:t>Volatility is independent of commodity prices</w:t>
                            </w:r>
                          </w:p>
                        </w:txbxContent>
                      </wps:txbx>
                      <wps:bodyPr anchor="t" lIns="0" tIns="0" rIns="0" bIns="0">
                        <a:noAutofit/>
                      </wps:bodyPr>
                    </wps:wsp>
                  </a:graphicData>
                </a:graphic>
              </wp:anchor>
            </w:drawing>
          </mc:Choice>
          <mc:Fallback>
            <w:pict>
              <v:rect fillcolor="#FFFFFF" style="position:absolute;rotation:-0;width:86.4pt;height:3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Volatility is independent of commodity prices</w:t>
                      </w:r>
                    </w:p>
                  </w:txbxContent>
                </v:textbox>
                <w10:wrap type="square"/>
              </v:rect>
            </w:pict>
          </mc:Fallback>
        </mc:AlternateContent>
      </w:r>
    </w:p>
    <w:p>
      <w:pPr>
        <w:pStyle w:val="SSBBodyText"/>
        <w:rPr/>
      </w:pPr>
      <w:r>
        <w:rPr/>
        <w:t>Power Price Volatility -- Month-by-Month Comparisons (Actual)</w:t>
      </w:r>
    </w:p>
    <w:tbl>
      <w:tblPr>
        <w:tblW w:w="4830" w:type="dxa"/>
        <w:jc w:val="start"/>
        <w:tblInd w:w="0" w:type="dxa"/>
        <w:tblLayout w:type="fixed"/>
        <w:tblCellMar>
          <w:top w:w="0" w:type="dxa"/>
          <w:start w:w="108" w:type="dxa"/>
          <w:bottom w:w="0" w:type="dxa"/>
          <w:end w:w="108" w:type="dxa"/>
        </w:tblCellMar>
      </w:tblPr>
      <w:tblGrid>
        <w:gridCol w:w="1610"/>
        <w:gridCol w:w="1610"/>
        <w:gridCol w:w="1610"/>
      </w:tblGrid>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20"/>
              </w:rPr>
            </w:pPr>
            <w:r>
              <w:rPr>
                <w:sz w:val="20"/>
              </w:rPr>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rPr>
            </w:pPr>
            <w:r>
              <w:rPr>
                <w:b/>
                <w:sz w:val="20"/>
              </w:rPr>
              <w:t>2000</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rPr>
            </w:pPr>
            <w:r>
              <w:rPr>
                <w:b/>
                <w:sz w:val="20"/>
              </w:rPr>
              <w:t>2001</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January</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138%</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177%</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February</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55%</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134%</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March</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19%</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237%</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April</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142%</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122%</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May</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388%</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179%</w:t>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June</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545%</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July</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284%</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August</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168%</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September</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196%</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October</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103%</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November</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172%</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r>
        <w:trPr>
          <w:trHeight w:val="240" w:hRule="exact"/>
        </w:trPr>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December</w:t>
            </w:r>
          </w:p>
        </w:tc>
        <w:tc>
          <w:tcPr>
            <w:tcW w:w="161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rPr>
            </w:pPr>
            <w:r>
              <w:rPr>
                <w:sz w:val="20"/>
              </w:rPr>
              <w:t>281%</w:t>
            </w:r>
          </w:p>
        </w:tc>
        <w:tc>
          <w:tcPr>
            <w:tcW w:w="16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20"/>
              </w:rPr>
            </w:pPr>
            <w:r>
              <w:rPr>
                <w:sz w:val="20"/>
              </w:rPr>
            </w:r>
          </w:p>
        </w:tc>
      </w:tr>
    </w:tbl>
    <w:p>
      <w:pPr>
        <w:pStyle w:val="SSBBodyText"/>
        <w:rPr>
          <w:b/>
        </w:rPr>
      </w:pPr>
      <w:r>
        <w:rPr>
          <w:b/>
        </w:rPr>
      </w:r>
    </w:p>
    <w:p>
      <w:pPr>
        <w:pStyle w:val="SSBBodyText"/>
        <w:rPr>
          <w:b/>
        </w:rPr>
      </w:pPr>
      <w:r>
        <w:rPr>
          <w:b/>
        </w:rPr>
        <w:t>METHODOLOGY:  WHAT IS THE POWER CURVE AND THE SPARK SPREAD?  WHAT IS VOLATILITY?</w:t>
      </w:r>
    </w:p>
    <w:p>
      <w:pPr>
        <w:pStyle w:val="SSBBodyText"/>
        <w:rPr/>
      </w:pPr>
      <w:r>
        <w:rPr/>
        <w:t>The Power Curve measures the actual views of market participants who trade power in 11 regional power pools.  The Spark Spread measures the spread between forward power and natural gas prices.  This is the most important indicator of profit potential for operators of power plants where gas is the fuel input (cost) and electricity is the output (revenue).  The Spark Spread measures the difference between these two commodities.  We have assumed a “heat rate” of 10,000 which reflects peaking and older gas-fired power plants.  Newer plants being built typically have heat rates of about 7,000.  Using the latter metric results in higher spark spread values, but does not change the backwardated shape of the curve or the decline in expectations. The Spark Spread shows that gas is likely to remain firm over the next 3 years relative to power, especially in 2003, when the Spark Spread declines significantly.</w:t>
      </w:r>
    </w:p>
    <w:p>
      <w:pPr>
        <w:pStyle w:val="SSBBodyText"/>
        <w:rPr>
          <w:b/>
        </w:rPr>
      </w:pPr>
      <w:r>
        <w:rPr>
          <w:b/>
        </w:rPr>
        <w:t>SEE POWER CURVE 4 REPORT, PUBLISHED MAY 2.</w:t>
      </w:r>
    </w:p>
    <w:p>
      <w:pPr>
        <w:pStyle w:val="SSBBodyText"/>
        <w:rPr>
          <w:b/>
        </w:rPr>
      </w:pPr>
      <w:r>
        <w:rPr>
          <w:b/>
        </w:rPr>
      </w:r>
    </w:p>
    <w:p>
      <w:pPr>
        <w:pStyle w:val="SSBBodyText"/>
        <w:rPr/>
      </w:pPr>
      <w:r>
        <w:rPr/>
      </w:r>
    </w:p>
    <w:p>
      <w:pPr>
        <w:pStyle w:val="SSBBodyText"/>
        <w:rPr/>
      </w:pPr>
      <w:r>
        <w:rPr/>
        <w:t>Calpine Corporation# (CPN-$54.07; 1H)</w:t>
      </w:r>
    </w:p>
    <w:p>
      <w:pPr>
        <w:pStyle w:val="SSBBodyText"/>
        <w:rPr/>
      </w:pPr>
      <w:r>
        <w:rPr/>
        <w:t>Duke Energy# (DUK-$46.63; 1M)</w:t>
      </w:r>
    </w:p>
    <w:p>
      <w:pPr>
        <w:pStyle w:val="SSBBodyText"/>
        <w:rPr/>
      </w:pPr>
      <w:r>
        <w:rPr/>
        <w:t>Dynegy Inc. (DYN-$54.85; 1H)</w:t>
      </w:r>
    </w:p>
    <w:p>
      <w:pPr>
        <w:pStyle w:val="SSBBodyText"/>
        <w:rPr/>
      </w:pPr>
      <w:r>
        <w:rPr/>
        <w:t>El Paso Energy Corporation# (EPG-$64.17; 1H)</w:t>
      </w:r>
    </w:p>
    <w:p>
      <w:pPr>
        <w:pStyle w:val="SSBBodyText"/>
        <w:rPr/>
      </w:pPr>
      <w:r>
        <w:rPr/>
        <w:t>Enron Corporation# (ENE-$54.95; 1H)</w:t>
      </w:r>
    </w:p>
    <w:p>
      <w:pPr>
        <w:pStyle w:val="SSBBodyText"/>
        <w:rPr/>
      </w:pPr>
      <w:r>
        <w:rPr/>
        <w:t>#Within the past three years,  Salomon Smith Barney, including its parent, subsidiaries,  and/or affiliates, has acted as manager or co-manager of a public offering of the securities of this company.</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pPr>
      <w:r>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lang w:eastAsia="en-CA"/>
        </w:rPr>
        <w:instrText xml:space="preserve"> FORMTEXT </w:instrText>
      </w:r>
      <w:r>
        <w:rPr>
          <w:rFonts w:eastAsia="Arial"/>
          <w:lang w:eastAsia="en-CA"/>
        </w:rPr>
      </w:r>
      <w:r>
        <w:rPr>
          <w:lang w:eastAsia="en-CA"/>
        </w:rPr>
        <w:fldChar w:fldCharType="separate"/>
      </w:r>
      <w:r>
        <w:rPr>
          <w:lang w:eastAsia="en-CA"/>
        </w:rPr>
        <w:t xml:space="preserve"> </w:t>
      </w: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lang w:eastAsia="en-CA"/>
        </w:rPr>
        <w:instrText xml:space="preserve"> FORMTEXT </w:instrText>
      </w:r>
      <w:r>
        <w:rPr>
          <w:rFonts w:eastAsia="Arial"/>
          <w:vanish/>
          <w:lang w:eastAsia="en-CA"/>
        </w:rPr>
      </w:r>
      <w:r>
        <w:rPr>
          <w:vanish/>
          <w:lang w:eastAsia="en-CA"/>
        </w:rPr>
        <w:fldChar w:fldCharType="separate"/>
      </w:r>
      <w:r>
        <w:rPr>
          <w:vanish/>
          <w:lang w:eastAsia="en-CA"/>
        </w:rPr>
        <w:t xml:space="preserve"> </w:t>
      </w:r>
      <w:r>
        <w:rPr>
          <w:vanish/>
          <w:lang w:eastAsia="en-CA"/>
        </w:rPr>
      </w:r>
      <w:r>
        <w:rPr>
          <w:vanish/>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13">
              <wp:simplePos x="0" y="0"/>
              <wp:positionH relativeFrom="page">
                <wp:align>right</wp:align>
              </wp:positionH>
              <wp:positionV relativeFrom="page">
                <wp:posOffset>1463675</wp:posOffset>
              </wp:positionV>
              <wp:extent cx="1677670" cy="457200"/>
              <wp:effectExtent l="0" t="0" r="0" b="0"/>
              <wp:wrapSquare wrapText="bothSides"/>
              <wp:docPr id="4" name="Frame10"/>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212-816-2807"/>
    <w:docVar w:name="trc_AnalystPhone2" w:val="212-816-2086"/>
    <w:docVar w:name="trc_AnalystPhone3" w:val="NULL"/>
    <w:docVar w:name="trc_blastvm" w:val="True"/>
    <w:docVar w:name="trc_comments" w:val="Would like to speak on AM call."/>
    <w:docVar w:name="trc_companyname" w:val="NULL"/>
    <w:docVar w:name="trc_CurFY" w:val="NULL"/>
    <w:docVar w:name="trc_CurrentPrice" w:val="NULL"/>
    <w:docVar w:name="trc_CurrentPrice_P" w:val="NULL"/>
    <w:docVar w:name="trc_DateOfSubmission" w:val="05/24/2001 8:19:41 PM"/>
    <w:docVar w:name="trc_Description" w:val="NA"/>
    <w:docVar w:name="trc_DOC_NOTE_ProtectDate" w:val="05/24/2001 5:54:56 PM"/>
    <w:docVar w:name="trc_DocID" w:val="42688"/>
    <w:docVar w:name="trc_DocumentType" w:val="8"/>
    <w:docVar w:name="trc_EPSGR" w:val="NULL"/>
    <w:docVar w:name="trc_EPSGR_P" w:val="NULL"/>
    <w:docVar w:name="trc_FromWorkFlow" w:val="False"/>
    <w:docVar w:name="trc_FYEndMonthIndex" w:val="NULL"/>
    <w:docVar w:name="trc_headline" w:val="POWER CURVE 5: FORWARD POWER CONTINUES SOFTENING; IMPLICATIONS"/>
    <w:docVar w:name="trc_headline_display" w:val="POWER CURVE 5: FORWARD POWER CONTINUES SOFTENING; IMPLICATIONS"/>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05/25/2001 8:00:00 AM"/>
    <w:docVar w:name="trc_MKTCAP" w:val="NULL"/>
    <w:docVar w:name="trc_MktCap_U" w:val="mil."/>
    <w:docVar w:name="trc_morningcall" w:val="True"/>
    <w:docVar w:name="trc_OtherCompanies" w:val="ENE,DUK,CPN,EPG,DYN"/>
    <w:docVar w:name="trc_OtherIndustryIDs" w:val="NULL"/>
    <w:docVar w:name="trc_Pages" w:val="4"/>
    <w:docVar w:name="trc_PRICEDATE" w:val="NULL"/>
    <w:docVar w:name="trc_priority" w:val="2"/>
    <w:docVar w:name="trc_pub_subtype" w:val="1"/>
    <w:docVar w:name="trc_publicationtype" w:val="Industry Note"/>
    <w:docVar w:name="trc_RATING" w:val="NULL"/>
    <w:docVar w:name="trc_RATING_P" w:val="NULL"/>
    <w:docVar w:name="trc_RATINGDATE" w:val="NULL"/>
    <w:docVar w:name="trc_releasedate" w:val="5/24/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bm58212"/>
    <w:docVar w:name="trc_submittername" w:val="Benjamin Morton"/>
    <w:docVar w:name="trc_submitterphone" w:val="212-816-2086"/>
    <w:docVar w:name="trc_target" w:val="NULL"/>
    <w:docVar w:name="trc_target_P" w:val="NULL"/>
    <w:docVar w:name="trc_TemplateID" w:val="8"/>
    <w:docVar w:name="trc_Thesis" w:val="NA"/>
    <w:docVar w:name="trc_ticker" w:val="NULL"/>
    <w:docVar w:name="trc_Ticker_P" w:val="NULL"/>
    <w:docVar w:name="trc_Version" w:val="1"/>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CompaniesMentioned">
    <w:name w:val="Companies Mentioned"/>
    <w:basedOn w:val="Normal"/>
    <w:qFormat/>
    <w:pPr>
      <w:spacing w:lineRule="atLeast" w:line="240"/>
    </w:pPr>
    <w:rPr>
      <w:rFonts w:ascii="TIMES" w:hAnsi="TIMES" w:cs="TIMES"/>
      <w:color w:val="000000"/>
      <w:kern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2001-05-25T00:48:00Z</dcterms:created>
  <dc:creator>Ray Niles</dc:creator>
  <dc:description/>
  <dc:language>en-CA</dc:language>
  <cp:lastModifiedBy>Robert F Gumina</cp:lastModifiedBy>
  <cp:lastPrinted>2001-05-24T17:54:00Z</cp:lastPrinted>
  <dcterms:modified xsi:type="dcterms:W3CDTF">2001-05-24T22:24:00Z</dcterms:modified>
  <cp:revision>13</cp:revision>
  <dc:subject/>
  <dc:title>Power &amp; Natural_20010524_1</dc:title>
</cp:coreProperties>
</file>