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February 6,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Gary Razmus</w:t>
      </w:r>
    </w:p>
    <w:p>
      <w:pPr>
        <w:pStyle w:val="Normal"/>
        <w:rPr>
          <w:sz w:val="22"/>
        </w:rPr>
      </w:pPr>
      <w:r>
        <w:rPr>
          <w:sz w:val="22"/>
        </w:rPr>
        <w:t>Fax No.:</w:t>
        <w:tab/>
        <w:tab/>
        <w:tab/>
        <w:t>(212) 780-8723</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BodyTextIndent"/>
        <w:rPr/>
      </w:pPr>
      <w:r>
        <w:rPr/>
        <w:t>Re:</w:t>
        <w:tab/>
        <w:t>Commodity Swaps: 514094.01, 514095.01, 514096.01, 514098.01, 514099.01, 514101.01, 514102.01, 514103.01, 514104.01</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200 MWs per hour for each On-Peak Hour during the Determination Period, as further described in Part I and Part II below.</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February 5,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May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May 1, 2001 and ending on October 31,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Payments:</w:t>
            </w:r>
          </w:p>
        </w:tc>
        <w:tc>
          <w:tcPr>
            <w:tcW w:w="6102" w:type="dxa"/>
            <w:tcBorders/>
          </w:tcPr>
          <w:p>
            <w:pPr>
              <w:pStyle w:val="Normal"/>
              <w:jc w:val="both"/>
              <w:rPr>
                <w:sz w:val="22"/>
              </w:rPr>
            </w:pPr>
            <w:r>
              <w:rPr>
                <w:color w:val="000000"/>
                <w:sz w:val="22"/>
              </w:rPr>
              <w:t>For each Determination Period, on the applicable Payment Date with respect to this Transaction, a net amount owed for Part I below of the Transaction will be determined pursuant to Section 2(a) of Annex A attached hereto, and a net amount owed for Part II below of the Transaction will be determined pursuant to Section 2(a) of Annex A attached hereto, and those two amounts shall be payable on the applicable Payment Date</w:t>
            </w:r>
          </w:p>
        </w:tc>
      </w:tr>
    </w:tbl>
    <w:p>
      <w:pPr>
        <w:pStyle w:val="Normal"/>
        <w:rPr>
          <w:b/>
          <w:sz w:val="22"/>
        </w:rPr>
      </w:pPr>
      <w:r>
        <w:rPr>
          <w:b/>
          <w:sz w:val="22"/>
        </w:rPr>
      </w:r>
    </w:p>
    <w:p>
      <w:pPr>
        <w:pStyle w:val="Heading1"/>
        <w:ind w:hanging="0" w:start="0"/>
        <w:rPr/>
      </w:pPr>
      <w:r>
        <w:rPr/>
        <w:t>PART I</w:t>
      </w:r>
    </w:p>
    <w:p>
      <w:pPr>
        <w:pStyle w:val="Normal"/>
        <w:rPr/>
      </w:pPr>
      <w:r>
        <w:rPr/>
      </w:r>
    </w:p>
    <w:p>
      <w:pPr>
        <w:pStyle w:val="Normal"/>
        <w:rPr>
          <w:b/>
          <w:sz w:val="22"/>
        </w:rPr>
      </w:pPr>
      <w:r>
        <w:rPr>
          <w:b/>
          <w:sz w:val="22"/>
        </w:rPr>
        <w:t>Part I Fixed Amount Details:</w:t>
      </w:r>
    </w:p>
    <w:p>
      <w:pPr>
        <w:pStyle w:val="Normal"/>
        <w:rPr>
          <w:b/>
          <w:sz w:val="22"/>
        </w:rPr>
      </w:pPr>
      <w:r>
        <w:rPr>
          <w:b/>
          <w:sz w:val="22"/>
        </w:rPr>
      </w:r>
    </w:p>
    <w:p>
      <w:pPr>
        <w:pStyle w:val="Normal"/>
        <w:tabs>
          <w:tab w:val="left" w:pos="720" w:leader="none"/>
          <w:tab w:val="left" w:pos="3510" w:leader="none"/>
        </w:tabs>
        <w:jc w:val="both"/>
        <w:rPr>
          <w:sz w:val="22"/>
        </w:rPr>
      </w:pPr>
      <w:r>
        <w:rPr>
          <w:sz w:val="22"/>
        </w:rPr>
        <w:tab/>
        <w:t>Fixed Price Payor:</w:t>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Fixed Price:</w:t>
            </w:r>
          </w:p>
        </w:tc>
        <w:tc>
          <w:tcPr>
            <w:tcW w:w="6912" w:type="dxa"/>
            <w:tcBorders/>
          </w:tcPr>
          <w:p>
            <w:pPr>
              <w:pStyle w:val="Normal"/>
              <w:jc w:val="both"/>
              <w:rPr/>
            </w:pPr>
            <w:r>
              <w:rPr>
                <w:sz w:val="22"/>
              </w:rPr>
              <w:t xml:space="preserve">                                          </w:t>
            </w:r>
            <w:r>
              <w:rPr>
                <w:sz w:val="22"/>
                <w:u w:val="single"/>
              </w:rPr>
              <w:t xml:space="preserve">Notional Quantity per </w:t>
            </w:r>
          </w:p>
          <w:p>
            <w:pPr>
              <w:pStyle w:val="Normal"/>
              <w:jc w:val="both"/>
              <w:rPr>
                <w:sz w:val="22"/>
              </w:rPr>
            </w:pPr>
            <w:r>
              <w:rPr>
                <w:sz w:val="22"/>
                <w:u w:val="single"/>
              </w:rPr>
              <w:t>Determination Period</w:t>
            </w:r>
            <w:r>
              <w:rPr>
                <w:sz w:val="22"/>
              </w:rPr>
              <w:t xml:space="preserve">       </w:t>
            </w:r>
            <w:r>
              <w:rPr>
                <w:sz w:val="22"/>
                <w:u w:val="single"/>
              </w:rPr>
              <w:t>Determination Period</w:t>
            </w:r>
            <w:r>
              <w:rPr>
                <w:sz w:val="22"/>
              </w:rPr>
              <w:t xml:space="preserve">          </w:t>
            </w:r>
            <w:r>
              <w:rPr>
                <w:sz w:val="22"/>
                <w:u w:val="single"/>
              </w:rPr>
              <w:t>Fixed Price</w:t>
            </w:r>
          </w:p>
          <w:p>
            <w:pPr>
              <w:pStyle w:val="Normal"/>
              <w:jc w:val="both"/>
              <w:rPr>
                <w:sz w:val="22"/>
              </w:rPr>
            </w:pPr>
            <w:r>
              <w:rPr>
                <w:sz w:val="22"/>
              </w:rPr>
              <w:t>May 2001                          100 MWs per hour*            $  58.50/MWh</w:t>
            </w:r>
          </w:p>
          <w:p>
            <w:pPr>
              <w:pStyle w:val="Normal"/>
              <w:jc w:val="both"/>
              <w:rPr>
                <w:sz w:val="22"/>
              </w:rPr>
            </w:pPr>
            <w:r>
              <w:rPr>
                <w:sz w:val="22"/>
              </w:rPr>
              <w:t>June 2001                          100 MWs per hour*           $  80.00/MWh</w:t>
            </w:r>
          </w:p>
          <w:p>
            <w:pPr>
              <w:pStyle w:val="Normal"/>
              <w:jc w:val="both"/>
              <w:rPr>
                <w:sz w:val="22"/>
              </w:rPr>
            </w:pPr>
            <w:r>
              <w:rPr>
                <w:sz w:val="22"/>
              </w:rPr>
              <w:t>July 2001                           100 MWs per hour*           $112.50/MWh</w:t>
            </w:r>
          </w:p>
          <w:p>
            <w:pPr>
              <w:pStyle w:val="Normal"/>
              <w:jc w:val="both"/>
              <w:rPr>
                <w:sz w:val="22"/>
              </w:rPr>
            </w:pPr>
            <w:r>
              <w:rPr>
                <w:sz w:val="22"/>
              </w:rPr>
              <w:t>August 2001                      100 MWs per hour*           $112.50/MWh</w:t>
            </w:r>
          </w:p>
          <w:p>
            <w:pPr>
              <w:pStyle w:val="Normal"/>
              <w:jc w:val="both"/>
              <w:rPr>
                <w:sz w:val="22"/>
              </w:rPr>
            </w:pPr>
            <w:r>
              <w:rPr>
                <w:sz w:val="22"/>
              </w:rPr>
              <w:t>September 2001                100 MWs per hour*           $  57.00/MWh</w:t>
            </w:r>
          </w:p>
          <w:p>
            <w:pPr>
              <w:pStyle w:val="Normal"/>
              <w:jc w:val="both"/>
              <w:rPr>
                <w:sz w:val="22"/>
              </w:rPr>
            </w:pPr>
            <w:r>
              <w:rPr>
                <w:sz w:val="22"/>
              </w:rPr>
              <w:t>October 2001                    100 MWs per hour*           $  55.00/MWh</w:t>
            </w:r>
          </w:p>
          <w:p>
            <w:pPr>
              <w:pStyle w:val="Normal"/>
              <w:jc w:val="both"/>
              <w:rPr>
                <w:sz w:val="22"/>
              </w:rPr>
            </w:pPr>
            <w:r>
              <w:rPr>
                <w:sz w:val="22"/>
              </w:rPr>
            </w:r>
          </w:p>
        </w:tc>
      </w:tr>
      <w:tr>
        <w:trPr/>
        <w:tc>
          <w:tcPr>
            <w:tcW w:w="3528" w:type="dxa"/>
            <w:tcBorders/>
          </w:tcPr>
          <w:p>
            <w:pPr>
              <w:pStyle w:val="Normal"/>
              <w:snapToGrid w:val="false"/>
              <w:ind w:start="720" w:end="0"/>
              <w:rPr>
                <w:sz w:val="22"/>
              </w:rPr>
            </w:pPr>
            <w:r>
              <w:rPr>
                <w:sz w:val="22"/>
              </w:rPr>
            </w:r>
          </w:p>
        </w:tc>
        <w:tc>
          <w:tcPr>
            <w:tcW w:w="6912" w:type="dxa"/>
            <w:tcBorders/>
          </w:tcPr>
          <w:p>
            <w:pPr>
              <w:pStyle w:val="Normal"/>
              <w:jc w:val="both"/>
              <w:rPr>
                <w:sz w:val="22"/>
              </w:rPr>
            </w:pPr>
            <w:r>
              <w:rPr>
                <w:sz w:val="22"/>
              </w:rPr>
              <w:t>* for each On-Peak Hour during the Determination Period</w:t>
            </w:r>
          </w:p>
        </w:tc>
      </w:tr>
    </w:tbl>
    <w:p>
      <w:pPr>
        <w:pStyle w:val="Normal"/>
        <w:rPr>
          <w:b/>
          <w:sz w:val="22"/>
        </w:rPr>
      </w:pPr>
      <w:r>
        <w:rPr>
          <w:b/>
          <w:sz w:val="22"/>
        </w:rPr>
        <w:t>Part I Floating Amount Details:</w:t>
      </w:r>
    </w:p>
    <w:p>
      <w:pPr>
        <w:pStyle w:val="Normal"/>
        <w:rPr>
          <w:b/>
          <w:sz w:val="22"/>
        </w:rPr>
      </w:pPr>
      <w:r>
        <w:rPr>
          <w:b/>
          <w:sz w:val="22"/>
        </w:rPr>
      </w:r>
    </w:p>
    <w:p>
      <w:pPr>
        <w:pStyle w:val="Normal"/>
        <w:jc w:val="both"/>
        <w:rPr>
          <w:sz w:val="22"/>
        </w:rPr>
      </w:pPr>
      <w:r>
        <w:rPr>
          <w:sz w:val="22"/>
        </w:rPr>
        <w:tab/>
        <w:t>Floating Price Payor:</w:t>
        <w:tab/>
        <w:t xml:space="preserve">            ENA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HUD VL (61758) (Zone G)”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p>
            <w:pPr>
              <w:pStyle w:val="Heading1"/>
              <w:ind w:hanging="0" w:start="0"/>
              <w:rPr/>
            </w:pPr>
            <w:r>
              <w:rPr/>
              <w:t>PART II</w:t>
            </w:r>
          </w:p>
          <w:p>
            <w:pPr>
              <w:pStyle w:val="Normal"/>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b/>
                <w:sz w:val="22"/>
              </w:rPr>
            </w:pPr>
            <w:r>
              <w:rPr>
                <w:b/>
                <w:sz w:val="22"/>
              </w:rPr>
              <w:t>Part II Fixed Amount Details:</w:t>
            </w:r>
          </w:p>
        </w:tc>
        <w:tc>
          <w:tcPr>
            <w:tcW w:w="6912" w:type="dxa"/>
            <w:tcBorders/>
          </w:tcPr>
          <w:p>
            <w:pPr>
              <w:pStyle w:val="Normal"/>
              <w:snapToGrid w:val="false"/>
              <w:jc w:val="both"/>
              <w:rPr>
                <w:b/>
                <w:sz w:val="22"/>
              </w:rPr>
            </w:pPr>
            <w:r>
              <w:rPr>
                <w:b/>
                <w:sz w:val="22"/>
              </w:rPr>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sz w:val="22"/>
              </w:rPr>
              <w:t xml:space="preserve">         </w:t>
            </w:r>
            <w:r>
              <w:rPr>
                <w:sz w:val="22"/>
              </w:rPr>
              <w:t>Fixed Price Payor:</w:t>
            </w:r>
          </w:p>
        </w:tc>
        <w:tc>
          <w:tcPr>
            <w:tcW w:w="6912" w:type="dxa"/>
            <w:tcBorders/>
          </w:tcPr>
          <w:p>
            <w:pPr>
              <w:pStyle w:val="Normal"/>
              <w:jc w:val="both"/>
              <w:rPr>
                <w:sz w:val="22"/>
              </w:rPr>
            </w:pPr>
            <w:r>
              <w:rPr>
                <w:sz w:val="22"/>
              </w:rPr>
              <w:t>Counterparty</w:t>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rHeight w:val="2394" w:hRule="atLeast"/>
        </w:trPr>
        <w:tc>
          <w:tcPr>
            <w:tcW w:w="3528" w:type="dxa"/>
            <w:tcBorders/>
          </w:tcPr>
          <w:p>
            <w:pPr>
              <w:pStyle w:val="Normal"/>
              <w:rPr>
                <w:sz w:val="22"/>
              </w:rPr>
            </w:pPr>
            <w:r>
              <w:rPr>
                <w:sz w:val="22"/>
              </w:rPr>
              <w:t xml:space="preserve">         </w:t>
            </w:r>
            <w:r>
              <w:rPr>
                <w:sz w:val="22"/>
              </w:rPr>
              <w:t>Fixed Price:</w:t>
            </w:r>
          </w:p>
        </w:tc>
        <w:tc>
          <w:tcPr>
            <w:tcW w:w="6912" w:type="dxa"/>
            <w:tcBorders/>
          </w:tcPr>
          <w:p>
            <w:pPr>
              <w:pStyle w:val="Normal"/>
              <w:jc w:val="both"/>
              <w:rPr/>
            </w:pPr>
            <w:r>
              <w:rPr>
                <w:sz w:val="22"/>
              </w:rPr>
              <w:t xml:space="preserve">                                         </w:t>
            </w:r>
            <w:r>
              <w:rPr>
                <w:sz w:val="22"/>
                <w:u w:val="single"/>
              </w:rPr>
              <w:t xml:space="preserve">Notional Quantity per </w:t>
            </w:r>
          </w:p>
          <w:p>
            <w:pPr>
              <w:pStyle w:val="Normal"/>
              <w:jc w:val="both"/>
              <w:rPr>
                <w:sz w:val="22"/>
              </w:rPr>
            </w:pPr>
            <w:r>
              <w:rPr>
                <w:sz w:val="22"/>
                <w:u w:val="single"/>
              </w:rPr>
              <w:t>Determination Period</w:t>
            </w:r>
            <w:r>
              <w:rPr>
                <w:sz w:val="22"/>
              </w:rPr>
              <w:t xml:space="preserve">       </w:t>
            </w:r>
            <w:r>
              <w:rPr>
                <w:sz w:val="22"/>
                <w:u w:val="single"/>
              </w:rPr>
              <w:t>Determination Period</w:t>
            </w:r>
            <w:r>
              <w:rPr>
                <w:sz w:val="22"/>
              </w:rPr>
              <w:t xml:space="preserve">          </w:t>
            </w:r>
            <w:r>
              <w:rPr>
                <w:sz w:val="22"/>
                <w:u w:val="single"/>
              </w:rPr>
              <w:t>Fixed Price</w:t>
            </w:r>
          </w:p>
          <w:p>
            <w:pPr>
              <w:pStyle w:val="Normal"/>
              <w:jc w:val="both"/>
              <w:rPr>
                <w:sz w:val="22"/>
              </w:rPr>
            </w:pPr>
            <w:r>
              <w:rPr>
                <w:sz w:val="22"/>
              </w:rPr>
              <w:t>May 2001                           100 MWs per hour*           $  65.00/MWh</w:t>
            </w:r>
          </w:p>
          <w:p>
            <w:pPr>
              <w:pStyle w:val="Normal"/>
              <w:jc w:val="both"/>
              <w:rPr>
                <w:sz w:val="22"/>
              </w:rPr>
            </w:pPr>
            <w:r>
              <w:rPr>
                <w:sz w:val="22"/>
              </w:rPr>
              <w:t>June 2001                           100 MWs per hour*           $  90.00/MWh</w:t>
            </w:r>
          </w:p>
          <w:p>
            <w:pPr>
              <w:pStyle w:val="Normal"/>
              <w:jc w:val="both"/>
              <w:rPr>
                <w:sz w:val="22"/>
              </w:rPr>
            </w:pPr>
            <w:r>
              <w:rPr>
                <w:sz w:val="22"/>
              </w:rPr>
              <w:t>July 2001                            100 MWs per hour*           $133.00/MWh</w:t>
            </w:r>
          </w:p>
          <w:p>
            <w:pPr>
              <w:pStyle w:val="Normal"/>
              <w:jc w:val="both"/>
              <w:rPr>
                <w:sz w:val="22"/>
              </w:rPr>
            </w:pPr>
            <w:r>
              <w:rPr>
                <w:sz w:val="22"/>
              </w:rPr>
              <w:t>August 2001                       100 MWs per hour*           $133.00/MWh</w:t>
            </w:r>
          </w:p>
          <w:p>
            <w:pPr>
              <w:pStyle w:val="Normal"/>
              <w:jc w:val="both"/>
              <w:rPr>
                <w:sz w:val="22"/>
              </w:rPr>
            </w:pPr>
            <w:r>
              <w:rPr>
                <w:sz w:val="22"/>
              </w:rPr>
              <w:t>September 2001                 100 MWs per hour*           $  65.00/MWh</w:t>
            </w:r>
          </w:p>
          <w:p>
            <w:pPr>
              <w:pStyle w:val="Normal"/>
              <w:jc w:val="both"/>
              <w:rPr>
                <w:sz w:val="22"/>
              </w:rPr>
            </w:pPr>
            <w:r>
              <w:rPr>
                <w:sz w:val="22"/>
              </w:rPr>
              <w:t>October 2001                     100 MWs per hour*           $  60.00/MWh</w:t>
            </w:r>
          </w:p>
          <w:p>
            <w:pPr>
              <w:pStyle w:val="Normal"/>
              <w:jc w:val="both"/>
              <w:rPr>
                <w:sz w:val="22"/>
              </w:rPr>
            </w:pPr>
            <w:r>
              <w:rPr>
                <w:sz w:val="22"/>
              </w:rPr>
            </w:r>
          </w:p>
        </w:tc>
      </w:tr>
      <w:tr>
        <w:trPr/>
        <w:tc>
          <w:tcPr>
            <w:tcW w:w="3528" w:type="dxa"/>
            <w:tcBorders/>
          </w:tcPr>
          <w:p>
            <w:pPr>
              <w:pStyle w:val="Normal"/>
              <w:snapToGrid w:val="false"/>
              <w:rPr>
                <w:sz w:val="22"/>
              </w:rPr>
            </w:pPr>
            <w:r>
              <w:rPr>
                <w:sz w:val="22"/>
              </w:rPr>
            </w:r>
          </w:p>
        </w:tc>
        <w:tc>
          <w:tcPr>
            <w:tcW w:w="6912" w:type="dxa"/>
            <w:tcBorders/>
          </w:tcPr>
          <w:p>
            <w:pPr>
              <w:pStyle w:val="Normal"/>
              <w:jc w:val="both"/>
              <w:rPr>
                <w:sz w:val="22"/>
              </w:rPr>
            </w:pPr>
            <w:r>
              <w:rPr>
                <w:sz w:val="22"/>
              </w:rPr>
              <w:t>* for each On-Peak Hour during the Determination Period</w:t>
            </w:r>
          </w:p>
          <w:p>
            <w:pPr>
              <w:pStyle w:val="Normal"/>
              <w:jc w:val="both"/>
              <w:rPr>
                <w:sz w:val="22"/>
              </w:rPr>
            </w:pPr>
            <w:r>
              <w:rPr>
                <w:sz w:val="22"/>
              </w:rPr>
            </w:r>
          </w:p>
        </w:tc>
      </w:tr>
      <w:tr>
        <w:trPr/>
        <w:tc>
          <w:tcPr>
            <w:tcW w:w="3528" w:type="dxa"/>
            <w:tcBorders/>
          </w:tcPr>
          <w:p>
            <w:pPr>
              <w:pStyle w:val="Normal"/>
              <w:rPr>
                <w:sz w:val="22"/>
              </w:rPr>
            </w:pPr>
            <w:r>
              <w:rPr>
                <w:b/>
                <w:sz w:val="22"/>
              </w:rPr>
              <w:t>Part II Floating Amount Details:</w:t>
            </w:r>
          </w:p>
        </w:tc>
        <w:tc>
          <w:tcPr>
            <w:tcW w:w="6912" w:type="dxa"/>
            <w:tcBorders/>
          </w:tcPr>
          <w:p>
            <w:pPr>
              <w:pStyle w:val="Normal"/>
              <w:snapToGrid w:val="false"/>
              <w:jc w:val="both"/>
              <w:rPr>
                <w:sz w:val="22"/>
              </w:rPr>
            </w:pPr>
            <w:r>
              <w:rPr>
                <w:sz w:val="22"/>
              </w:rPr>
            </w:r>
          </w:p>
        </w:tc>
      </w:tr>
      <w:tr>
        <w:trPr/>
        <w:tc>
          <w:tcPr>
            <w:tcW w:w="3528" w:type="dxa"/>
            <w:tcBorders/>
          </w:tcPr>
          <w:p>
            <w:pPr>
              <w:pStyle w:val="Normal"/>
              <w:snapToGrid w:val="false"/>
              <w:rPr>
                <w:b/>
                <w:sz w:val="22"/>
              </w:rPr>
            </w:pPr>
            <w:r>
              <w:rPr>
                <w:b/>
                <w:sz w:val="22"/>
              </w:rPr>
            </w:r>
          </w:p>
        </w:tc>
        <w:tc>
          <w:tcPr>
            <w:tcW w:w="6912" w:type="dxa"/>
            <w:tcBorders/>
          </w:tcPr>
          <w:p>
            <w:pPr>
              <w:pStyle w:val="Normal"/>
              <w:snapToGrid w:val="false"/>
              <w:jc w:val="both"/>
              <w:rPr>
                <w:b/>
                <w:sz w:val="22"/>
              </w:rPr>
            </w:pPr>
            <w:r>
              <w:rPr>
                <w:b/>
                <w:sz w:val="22"/>
              </w:rPr>
            </w:r>
          </w:p>
        </w:tc>
      </w:tr>
      <w:tr>
        <w:trPr/>
        <w:tc>
          <w:tcPr>
            <w:tcW w:w="3528" w:type="dxa"/>
            <w:tcBorders/>
          </w:tcPr>
          <w:p>
            <w:pPr>
              <w:pStyle w:val="Normal"/>
              <w:rPr/>
            </w:pPr>
            <w:r>
              <w:rPr>
                <w:b/>
                <w:sz w:val="22"/>
              </w:rPr>
              <w:t xml:space="preserve">         </w:t>
            </w:r>
            <w:r>
              <w:rPr>
                <w:sz w:val="22"/>
              </w:rPr>
              <w:t>Floating Price Payor:</w:t>
            </w:r>
          </w:p>
        </w:tc>
        <w:tc>
          <w:tcPr>
            <w:tcW w:w="6912" w:type="dxa"/>
            <w:tcBorders/>
          </w:tcPr>
          <w:p>
            <w:pPr>
              <w:pStyle w:val="Normal"/>
              <w:jc w:val="both"/>
              <w:rPr>
                <w:sz w:val="22"/>
              </w:rPr>
            </w:pPr>
            <w:r>
              <w:rPr>
                <w:sz w:val="22"/>
              </w:rPr>
              <w:t>ENA</w:t>
            </w:r>
          </w:p>
        </w:tc>
      </w:tr>
      <w:tr>
        <w:trPr/>
        <w:tc>
          <w:tcPr>
            <w:tcW w:w="3528" w:type="dxa"/>
            <w:tcBorders/>
          </w:tcPr>
          <w:p>
            <w:pPr>
              <w:pStyle w:val="Normal"/>
              <w:snapToGrid w:val="false"/>
              <w:rPr>
                <w:b/>
                <w:sz w:val="22"/>
              </w:rPr>
            </w:pPr>
            <w:r>
              <w:rPr>
                <w:b/>
                <w:sz w:val="22"/>
              </w:rPr>
            </w:r>
          </w:p>
        </w:tc>
        <w:tc>
          <w:tcPr>
            <w:tcW w:w="6912" w:type="dxa"/>
            <w:tcBorders/>
          </w:tcPr>
          <w:p>
            <w:pPr>
              <w:pStyle w:val="Normal"/>
              <w:snapToGrid w:val="false"/>
              <w:jc w:val="both"/>
              <w:rPr>
                <w:b/>
                <w:sz w:val="22"/>
              </w:rPr>
            </w:pPr>
            <w:r>
              <w:rPr>
                <w:b/>
                <w:sz w:val="22"/>
              </w:rPr>
            </w:r>
          </w:p>
        </w:tc>
      </w:tr>
      <w:tr>
        <w:trPr/>
        <w:tc>
          <w:tcPr>
            <w:tcW w:w="3528" w:type="dxa"/>
            <w:tcBorders/>
          </w:tcPr>
          <w:p>
            <w:pPr>
              <w:pStyle w:val="Normal"/>
              <w:rPr/>
            </w:pPr>
            <w:r>
              <w:rPr>
                <w:b/>
                <w:sz w:val="22"/>
              </w:rPr>
              <w:t xml:space="preserve">         </w:t>
            </w: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N.Y.C. (61761) (Zone J)”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b/>
                <w:sz w:val="22"/>
              </w:rPr>
              <w:t>Contractual Currency:</w:t>
            </w:r>
          </w:p>
        </w:tc>
        <w:tc>
          <w:tcPr>
            <w:tcW w:w="691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 xml:space="preserve">            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rPr>
                <w:b/>
                <w:sz w:val="22"/>
              </w:rPr>
            </w:pPr>
            <w:r>
              <w:rPr>
                <w:b/>
                <w:sz w:val="22"/>
              </w:rPr>
              <w:t>General Terms and Conditions</w:t>
            </w:r>
          </w:p>
          <w:p>
            <w:pPr>
              <w:pStyle w:val="Normal"/>
              <w:rPr>
                <w:sz w:val="22"/>
              </w:rPr>
            </w:pPr>
            <w:r>
              <w:rPr>
                <w:b/>
                <w:sz w:val="22"/>
              </w:rPr>
              <w:t>of Confirmations:</w:t>
            </w:r>
          </w:p>
        </w:tc>
        <w:tc>
          <w:tcPr>
            <w:tcW w:w="6912" w:type="dxa"/>
            <w:tcBorders/>
          </w:tcPr>
          <w:p>
            <w:pPr>
              <w:pStyle w:val="Normal"/>
              <w:snapToGrid w:val="false"/>
              <w:jc w:val="both"/>
              <w:rPr>
                <w:sz w:val="22"/>
              </w:rPr>
            </w:pPr>
            <w:r>
              <w:rPr>
                <w:sz w:val="22"/>
              </w:rPr>
            </w:r>
          </w:p>
          <w:p>
            <w:pPr>
              <w:pStyle w:val="Normal"/>
              <w:jc w:val="both"/>
              <w:rPr/>
            </w:pPr>
            <w:r>
              <w:rPr>
                <w:sz w:val="22"/>
              </w:rPr>
              <w:t>The General Terms and Conditions, Credit and Other Special Provisions of Confirmation contained in Annex A, Annex B, Annex B-1, and Annex B-2</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Consolidated Edison Company Of New York, Inc.</w:t>
            </w:r>
            <w:r>
              <w:rPr>
                <w:sz w:val="22"/>
              </w:rPr>
              <w:fldChar w:fldCharType="end"/>
            </w:r>
          </w:p>
        </w:tc>
      </w:tr>
      <w:tr>
        <w:trPr/>
        <w:tc>
          <w:tcPr>
            <w:tcW w:w="4428" w:type="dxa"/>
            <w:tcBorders/>
          </w:tcPr>
          <w:p>
            <w:pPr>
              <w:pStyle w:val="Normal"/>
              <w:snapToGrid w:val="false"/>
              <w:rPr>
                <w:sz w:val="22"/>
              </w:rPr>
            </w:pPr>
            <w:r>
              <w:rPr>
                <w:sz w:val="22"/>
              </w:rPr>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br/>
            </w:r>
            <w:r>
              <w:rPr>
                <w:sz w:val="22"/>
              </w:rPr>
              <w:fldChar w:fldCharType="end"/>
            </w:r>
          </w:p>
        </w:tc>
        <w:tc>
          <w:tcPr>
            <w:tcW w:w="6012" w:type="dxa"/>
            <w:tcBorders/>
          </w:tcPr>
          <w:p>
            <w:pPr>
              <w:pStyle w:val="Normal"/>
              <w:snapToGrid w:val="false"/>
              <w:rPr>
                <w:sz w:val="22"/>
              </w:rPr>
            </w:pPr>
            <w:r>
              <w:rPr>
                <w:sz w:val="22"/>
              </w:rPr>
            </w:r>
          </w:p>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February 07,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NationsBank of Texas, N.A.</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1 - (800) 684-1336</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514094.01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clear" w:pos="720"/>
        <w:tab w:val="left" w:pos="2880" w:leader="none"/>
      </w:tabs>
      <w:ind w:hanging="4680" w:start="46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2001-10-02T13:36:00Z</dcterms:created>
  <dc:creator>ECT</dc:creator>
  <dc:description/>
  <dc:language>en-CA</dc:language>
  <cp:lastModifiedBy>khundl</cp:lastModifiedBy>
  <dcterms:modified xsi:type="dcterms:W3CDTF">2001-10-02T13:36:00Z</dcterms:modified>
  <cp:revision>2</cp:revision>
  <dc:subject/>
  <dc:title>514094.01</dc:title>
</cp:coreProperties>
</file>