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rPr>
        <w:instrText xml:space="preserve"> FORMTEXT </w:instrText>
      </w:r>
      <w:r>
        <w:rPr>
          <w:b/>
          <w:sz w:val="24"/>
          <w:u w:val="single"/>
          <w:lang w:val="en-CA"/>
        </w:rPr>
      </w:r>
      <w:r>
        <w:rPr>
          <w:sz w:val="24"/>
          <w:u w:val="single"/>
          <w:b/>
          <w:lang w:val="en-CA"/>
        </w:rPr>
        <w:fldChar w:fldCharType="separate"/>
      </w:r>
      <w:r>
        <w:rPr>
          <w:b/>
          <w:sz w:val="24"/>
          <w:u w:val="single"/>
          <w:lang w:val="en-CA"/>
        </w:rPr>
        <w:t>     </w:t>
      </w:r>
      <w:r>
        <w:rPr>
          <w:b/>
          <w:sz w:val="24"/>
          <w:u w:val="single"/>
          <w:lang w:val="en-CA"/>
        </w:rPr>
      </w:r>
      <w:r>
        <w:rPr>
          <w:sz w:val="24"/>
          <w:u w:val="single"/>
          <w:b/>
          <w:lang w:val="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Power Banding Project – Ongoing</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Chris Stokely</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2">
              <w:r>
                <w:rPr>
                  <w:rStyle w:val="Hyperlink"/>
                </w:rPr>
                <w:t>chris.stokely@enron.com</w:t>
              </w:r>
            </w:hyperlink>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503.807.8959</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Richard Miller</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3">
              <w:r>
                <w:rPr>
                  <w:rStyle w:val="Hyperlink"/>
                </w:rPr>
                <w:t>richard.miller@enron.com</w:t>
              </w:r>
            </w:hyperlink>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713.345.5254</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Beth Apollo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4">
              <w:r>
                <w:rPr>
                  <w:rStyle w:val="Hyperlink"/>
                </w:rPr>
                <w:t>beth.apollo@enron.com</w:t>
              </w:r>
            </w:hyperlink>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8/24/01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sz w:val="22"/>
              </w:rPr>
            </w:pPr>
            <w:r>
              <w:rPr>
                <w:b/>
                <w:sz w:val="22"/>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ed/>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pPr>
            <w:r>
              <w:rPr/>
              <w:t>This project is designed to create a method(s) to assess banding penalties currently contained in Enron’s contracts with many of their customers. This project is currently under discussion between CSC staff members and Enron personnel.</w:t>
            </w:r>
          </w:p>
          <w:p>
            <w:pPr>
              <w:pStyle w:val="Normal"/>
              <w:rPr/>
            </w:pPr>
            <w:r>
              <w:rPr/>
              <w:t>This project applies to EEMC and EES, Power only. All products and all billing methods should be considered (though questions or problems posed by any products or billing methods should be raised immediately with Enron). Assume that Enron will supply the baseline information as well as the banding cutoff points and penalties to be assessed. This project will cover both STAT and Lodestar. HP Power should be investigated as to what would apply to the accounts contained there.</w:t>
            </w:r>
          </w:p>
          <w:p>
            <w:pPr>
              <w:pStyle w:val="Normal"/>
              <w:rPr/>
            </w:pPr>
            <w:r>
              <w:rPr/>
            </w:r>
          </w:p>
          <w:p>
            <w:pPr>
              <w:pStyle w:val="Normal"/>
              <w:rPr/>
            </w:pPr>
            <w:r>
              <w:rPr/>
              <w:t>Capture and/or use of the following data should be included in the scope of this effort (Any changes from or problems presented by any choice should be discussed with the requestor):</w:t>
            </w:r>
          </w:p>
          <w:p>
            <w:pPr>
              <w:pStyle w:val="Normal"/>
              <w:numPr>
                <w:ilvl w:val="0"/>
                <w:numId w:val="2"/>
              </w:numPr>
              <w:rPr/>
            </w:pPr>
            <w:r>
              <w:rPr/>
              <w:t>Baseline (in MWh’s)</w:t>
            </w:r>
          </w:p>
          <w:p>
            <w:pPr>
              <w:pStyle w:val="Normal"/>
              <w:numPr>
                <w:ilvl w:val="0"/>
                <w:numId w:val="2"/>
              </w:numPr>
              <w:rPr/>
            </w:pPr>
            <w:r>
              <w:rPr/>
              <w:t>Escalators on baseline (percent change to the baseline) per</w:t>
            </w:r>
          </w:p>
          <w:p>
            <w:pPr>
              <w:pStyle w:val="Normal"/>
              <w:numPr>
                <w:ilvl w:val="1"/>
                <w:numId w:val="2"/>
              </w:numPr>
              <w:rPr/>
            </w:pPr>
            <w:r>
              <w:rPr/>
              <w:t>Month</w:t>
            </w:r>
          </w:p>
          <w:p>
            <w:pPr>
              <w:pStyle w:val="Normal"/>
              <w:numPr>
                <w:ilvl w:val="1"/>
                <w:numId w:val="2"/>
              </w:numPr>
              <w:rPr/>
            </w:pPr>
            <w:r>
              <w:rPr/>
              <w:t>Quarter</w:t>
            </w:r>
          </w:p>
          <w:p>
            <w:pPr>
              <w:pStyle w:val="Normal"/>
              <w:numPr>
                <w:ilvl w:val="1"/>
                <w:numId w:val="2"/>
              </w:numPr>
              <w:rPr/>
            </w:pPr>
            <w:r>
              <w:rPr/>
              <w:t>Year</w:t>
            </w:r>
          </w:p>
          <w:p>
            <w:pPr>
              <w:pStyle w:val="Normal"/>
              <w:numPr>
                <w:ilvl w:val="0"/>
                <w:numId w:val="2"/>
              </w:numPr>
              <w:rPr/>
            </w:pPr>
            <w:r>
              <w:rPr/>
              <w:t>Aggregation Level</w:t>
            </w:r>
          </w:p>
          <w:p>
            <w:pPr>
              <w:pStyle w:val="Normal"/>
              <w:numPr>
                <w:ilvl w:val="1"/>
                <w:numId w:val="2"/>
              </w:numPr>
              <w:rPr/>
            </w:pPr>
            <w:r>
              <w:rPr/>
              <w:t>Site</w:t>
            </w:r>
          </w:p>
          <w:p>
            <w:pPr>
              <w:pStyle w:val="Normal"/>
              <w:numPr>
                <w:ilvl w:val="1"/>
                <w:numId w:val="2"/>
              </w:numPr>
              <w:rPr/>
            </w:pPr>
            <w:r>
              <w:rPr/>
              <w:t>Utility</w:t>
            </w:r>
          </w:p>
          <w:p>
            <w:pPr>
              <w:pStyle w:val="Normal"/>
              <w:numPr>
                <w:ilvl w:val="1"/>
                <w:numId w:val="2"/>
              </w:numPr>
              <w:rPr/>
            </w:pPr>
            <w:r>
              <w:rPr/>
              <w:t>State</w:t>
            </w:r>
          </w:p>
          <w:p>
            <w:pPr>
              <w:pStyle w:val="Normal"/>
              <w:numPr>
                <w:ilvl w:val="1"/>
                <w:numId w:val="2"/>
              </w:numPr>
              <w:rPr/>
            </w:pPr>
            <w:r>
              <w:rPr/>
              <w:t>Region</w:t>
            </w:r>
          </w:p>
          <w:p>
            <w:pPr>
              <w:pStyle w:val="Normal"/>
              <w:numPr>
                <w:ilvl w:val="1"/>
                <w:numId w:val="2"/>
              </w:numPr>
              <w:rPr/>
            </w:pPr>
            <w:r>
              <w:rPr/>
              <w:t>National</w:t>
            </w:r>
          </w:p>
          <w:p>
            <w:pPr>
              <w:pStyle w:val="Normal"/>
              <w:numPr>
                <w:ilvl w:val="0"/>
                <w:numId w:val="2"/>
              </w:numPr>
              <w:rPr/>
            </w:pPr>
            <w:r>
              <w:rPr/>
              <w:t>Baseline Status</w:t>
            </w:r>
          </w:p>
          <w:p>
            <w:pPr>
              <w:pStyle w:val="Normal"/>
              <w:numPr>
                <w:ilvl w:val="1"/>
                <w:numId w:val="2"/>
              </w:numPr>
              <w:rPr/>
            </w:pPr>
            <w:r>
              <w:rPr/>
              <w:t xml:space="preserve">Permanent </w:t>
            </w:r>
          </w:p>
          <w:p>
            <w:pPr>
              <w:pStyle w:val="Normal"/>
              <w:numPr>
                <w:ilvl w:val="1"/>
                <w:numId w:val="2"/>
              </w:numPr>
              <w:rPr/>
            </w:pPr>
            <w:r>
              <w:rPr/>
              <w:t>Under review</w:t>
            </w:r>
          </w:p>
          <w:p>
            <w:pPr>
              <w:pStyle w:val="Normal"/>
              <w:numPr>
                <w:ilvl w:val="2"/>
                <w:numId w:val="2"/>
              </w:numPr>
              <w:rPr/>
            </w:pPr>
            <w:r>
              <w:rPr/>
              <w:t>Conditions of review</w:t>
            </w:r>
          </w:p>
          <w:p>
            <w:pPr>
              <w:pStyle w:val="Normal"/>
              <w:numPr>
                <w:ilvl w:val="3"/>
                <w:numId w:val="2"/>
              </w:numPr>
              <w:rPr/>
            </w:pPr>
            <w:r>
              <w:rPr/>
              <w:t>Six months of actuals</w:t>
            </w:r>
          </w:p>
          <w:p>
            <w:pPr>
              <w:pStyle w:val="Normal"/>
              <w:numPr>
                <w:ilvl w:val="3"/>
                <w:numId w:val="2"/>
              </w:numPr>
              <w:rPr/>
            </w:pPr>
            <w:r>
              <w:rPr/>
              <w:t>One year of actuals</w:t>
            </w:r>
          </w:p>
          <w:p>
            <w:pPr>
              <w:pStyle w:val="Normal"/>
              <w:numPr>
                <w:ilvl w:val="0"/>
                <w:numId w:val="2"/>
              </w:numPr>
              <w:rPr/>
            </w:pPr>
            <w:r>
              <w:rPr/>
              <w:t>New Baseline Coverage Period</w:t>
            </w:r>
          </w:p>
          <w:p>
            <w:pPr>
              <w:pStyle w:val="Normal"/>
              <w:numPr>
                <w:ilvl w:val="1"/>
                <w:numId w:val="2"/>
              </w:numPr>
              <w:rPr/>
            </w:pPr>
            <w:r>
              <w:rPr/>
              <w:t>Start of contract</w:t>
            </w:r>
          </w:p>
          <w:p>
            <w:pPr>
              <w:pStyle w:val="Normal"/>
              <w:numPr>
                <w:ilvl w:val="1"/>
                <w:numId w:val="2"/>
              </w:numPr>
              <w:rPr/>
            </w:pPr>
            <w:r>
              <w:rPr/>
              <w:t>Date of new baseline implementation forward</w:t>
            </w:r>
          </w:p>
          <w:p>
            <w:pPr>
              <w:pStyle w:val="Normal"/>
              <w:numPr>
                <w:ilvl w:val="0"/>
                <w:numId w:val="2"/>
              </w:numPr>
              <w:rPr/>
            </w:pPr>
            <w:r>
              <w:rPr/>
              <w:t>Hours covered under the contract (Peak, off-peak, etc.)</w:t>
            </w:r>
          </w:p>
          <w:p>
            <w:pPr>
              <w:pStyle w:val="Normal"/>
              <w:numPr>
                <w:ilvl w:val="0"/>
                <w:numId w:val="2"/>
              </w:numPr>
              <w:rPr/>
            </w:pPr>
            <w:r>
              <w:rPr/>
              <w:t>Band Information</w:t>
            </w:r>
          </w:p>
          <w:p>
            <w:pPr>
              <w:pStyle w:val="Normal"/>
              <w:numPr>
                <w:ilvl w:val="1"/>
                <w:numId w:val="2"/>
              </w:numPr>
              <w:rPr/>
            </w:pPr>
            <w:r>
              <w:rPr/>
              <w:t>Minimum/maximum usage</w:t>
            </w:r>
          </w:p>
          <w:p>
            <w:pPr>
              <w:pStyle w:val="Normal"/>
              <w:numPr>
                <w:ilvl w:val="1"/>
                <w:numId w:val="2"/>
              </w:numPr>
              <w:rPr/>
            </w:pPr>
            <w:r>
              <w:rPr/>
              <w:t>MWh above Max usage</w:t>
            </w:r>
          </w:p>
          <w:p>
            <w:pPr>
              <w:pStyle w:val="Normal"/>
              <w:numPr>
                <w:ilvl w:val="1"/>
                <w:numId w:val="2"/>
              </w:numPr>
              <w:rPr/>
            </w:pPr>
            <w:r>
              <w:rPr/>
              <w:t>MWh below Min usage</w:t>
            </w:r>
          </w:p>
          <w:p>
            <w:pPr>
              <w:pStyle w:val="Normal"/>
              <w:numPr>
                <w:ilvl w:val="1"/>
                <w:numId w:val="2"/>
              </w:numPr>
              <w:rPr/>
            </w:pPr>
            <w:r>
              <w:rPr/>
              <w:t>Index price</w:t>
            </w:r>
          </w:p>
          <w:p>
            <w:pPr>
              <w:pStyle w:val="Normal"/>
              <w:numPr>
                <w:ilvl w:val="1"/>
                <w:numId w:val="2"/>
              </w:numPr>
              <w:rPr/>
            </w:pPr>
            <w:r>
              <w:rPr/>
              <w:t>Additional costs</w:t>
            </w:r>
          </w:p>
          <w:p>
            <w:pPr>
              <w:pStyle w:val="Normal"/>
              <w:numPr>
                <w:ilvl w:val="1"/>
                <w:numId w:val="2"/>
              </w:numPr>
              <w:rPr/>
            </w:pPr>
            <w:r>
              <w:rPr/>
              <w:t>Timeline Band is calculated on</w:t>
            </w:r>
          </w:p>
          <w:p>
            <w:pPr>
              <w:pStyle w:val="Normal"/>
              <w:numPr>
                <w:ilvl w:val="2"/>
                <w:numId w:val="2"/>
              </w:numPr>
              <w:rPr/>
            </w:pPr>
            <w:r>
              <w:rPr/>
              <w:t xml:space="preserve">Monthly </w:t>
            </w:r>
          </w:p>
          <w:p>
            <w:pPr>
              <w:pStyle w:val="Normal"/>
              <w:numPr>
                <w:ilvl w:val="2"/>
                <w:numId w:val="2"/>
              </w:numPr>
              <w:rPr/>
            </w:pPr>
            <w:r>
              <w:rPr/>
              <w:t>Quarterly</w:t>
            </w:r>
          </w:p>
          <w:p>
            <w:pPr>
              <w:pStyle w:val="Normal"/>
              <w:numPr>
                <w:ilvl w:val="2"/>
                <w:numId w:val="2"/>
              </w:numPr>
              <w:rPr/>
            </w:pPr>
            <w:r>
              <w:rPr/>
              <w:t>Yearly</w:t>
            </w:r>
          </w:p>
          <w:p>
            <w:pPr>
              <w:pStyle w:val="Normal"/>
              <w:numPr>
                <w:ilvl w:val="1"/>
                <w:numId w:val="2"/>
              </w:numPr>
              <w:rPr/>
            </w:pPr>
            <w:r>
              <w:rPr/>
              <w:t>Aggregation Level of the actuals</w:t>
            </w:r>
          </w:p>
          <w:p>
            <w:pPr>
              <w:pStyle w:val="Normal"/>
              <w:numPr>
                <w:ilvl w:val="2"/>
                <w:numId w:val="2"/>
              </w:numPr>
              <w:rPr/>
            </w:pPr>
            <w:r>
              <w:rPr/>
              <w:t>Site</w:t>
            </w:r>
          </w:p>
          <w:p>
            <w:pPr>
              <w:pStyle w:val="Normal"/>
              <w:numPr>
                <w:ilvl w:val="2"/>
                <w:numId w:val="2"/>
              </w:numPr>
              <w:rPr/>
            </w:pPr>
            <w:r>
              <w:rPr/>
              <w:t>Utility</w:t>
            </w:r>
          </w:p>
          <w:p>
            <w:pPr>
              <w:pStyle w:val="Normal"/>
              <w:numPr>
                <w:ilvl w:val="2"/>
                <w:numId w:val="2"/>
              </w:numPr>
              <w:rPr/>
            </w:pPr>
            <w:r>
              <w:rPr/>
              <w:t>State</w:t>
            </w:r>
          </w:p>
          <w:p>
            <w:pPr>
              <w:pStyle w:val="Normal"/>
              <w:numPr>
                <w:ilvl w:val="2"/>
                <w:numId w:val="2"/>
              </w:numPr>
              <w:rPr/>
            </w:pPr>
            <w:r>
              <w:rPr/>
              <w:t>Region</w:t>
            </w:r>
          </w:p>
          <w:p>
            <w:pPr>
              <w:pStyle w:val="Normal"/>
              <w:numPr>
                <w:ilvl w:val="2"/>
                <w:numId w:val="2"/>
              </w:numPr>
              <w:rPr/>
            </w:pPr>
            <w:r>
              <w:rPr/>
              <w:t>National</w:t>
            </w:r>
          </w:p>
          <w:p>
            <w:pPr>
              <w:pStyle w:val="Normal"/>
              <w:numPr>
                <w:ilvl w:val="0"/>
                <w:numId w:val="2"/>
              </w:numPr>
              <w:rPr/>
            </w:pPr>
            <w:r>
              <w:rPr/>
              <w:t>Invoice period</w:t>
            </w:r>
          </w:p>
          <w:p>
            <w:pPr>
              <w:pStyle w:val="Normal"/>
              <w:numPr>
                <w:ilvl w:val="1"/>
                <w:numId w:val="2"/>
              </w:numPr>
              <w:rPr/>
            </w:pPr>
            <w:r>
              <w:rPr/>
              <w:t xml:space="preserve">Monthly </w:t>
            </w:r>
          </w:p>
          <w:p>
            <w:pPr>
              <w:pStyle w:val="Normal"/>
              <w:numPr>
                <w:ilvl w:val="1"/>
                <w:numId w:val="2"/>
              </w:numPr>
              <w:rPr/>
            </w:pPr>
            <w:r>
              <w:rPr/>
              <w:t>Quarterly</w:t>
            </w:r>
          </w:p>
          <w:p>
            <w:pPr>
              <w:pStyle w:val="Normal"/>
              <w:numPr>
                <w:ilvl w:val="1"/>
                <w:numId w:val="2"/>
              </w:numPr>
              <w:rPr/>
            </w:pPr>
            <w:r>
              <w:rPr/>
              <w:t>Yearly</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Invoices</w:t>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The objective of this effort is to capture the information needed and assess and invoice penalties owed, by contract, by Enron customers.</w:t>
            </w:r>
          </w:p>
        </w:tc>
      </w:tr>
    </w:tbl>
    <w:p>
      <w:pPr>
        <w:pStyle w:val="Normal"/>
        <w:rPr>
          <w:b/>
        </w:rPr>
      </w:pPr>
      <w:r>
        <w:rPr>
          <w:b/>
        </w:rPr>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5"/>
      <w:footerReference w:type="default" r:id="rId6"/>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4">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rPr>
    </w:pPr>
    <w:r>
      <w:rPr>
        <w:b/>
        <w:lang w:val="en-CA"/>
      </w:rPr>
    </w:r>
  </w:p>
  <w:p>
    <w:pPr>
      <w:pStyle w:val="Header"/>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ris.stokely@enron.com" TargetMode="External"/><Relationship Id="rId3" Type="http://schemas.openxmlformats.org/officeDocument/2006/relationships/hyperlink" Target="mailto:Richard.miller@enron.com" TargetMode="External"/><Relationship Id="rId4" Type="http://schemas.openxmlformats.org/officeDocument/2006/relationships/hyperlink" Target="mailto:Beth.apollo@enron.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2001-08-24T13:48:00Z</dcterms:created>
  <dc:creator>Jacqueline Jackson</dc:creator>
  <dc:description/>
  <dc:language>en-CA</dc:language>
  <cp:lastModifiedBy>Steve Walker</cp:lastModifiedBy>
  <dcterms:modified xsi:type="dcterms:W3CDTF">2001-08-24T17:57:00Z</dcterms:modified>
  <cp:revision>3</cp:revision>
  <dc:subject/>
  <dc:title>Project Name*</dc:title>
</cp:coreProperties>
</file>