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media/image3.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ind w:firstLine="840" w:end="0"/>
        <w:rPr>
          <w:rFonts w:ascii="Times New Roman" w:hAnsi="Times New Roman" w:cs="Times New Roman"/>
        </w:rPr>
      </w:pPr>
      <w:r>
        <w:rPr>
          <w:rFonts w:cs="Times New Roman" w:ascii="Times New Roman" w:hAnsi="Times New Roman"/>
          <w:sz w:val="36"/>
        </w:rPr>
        <w:t>Memo</w:t>
      </w:r>
      <w:r>
        <mc:AlternateContent>
          <mc:Choice Requires="wps">
            <w:drawing>
              <wp:anchor behindDoc="0" distT="0" distB="0" distL="114300" distR="114300" simplePos="0" locked="0" layoutInCell="0" allowOverlap="1" relativeHeight="2">
                <wp:simplePos x="0" y="0"/>
                <wp:positionH relativeFrom="page">
                  <wp:posOffset>367665</wp:posOffset>
                </wp:positionH>
                <wp:positionV relativeFrom="paragraph">
                  <wp:posOffset>-797560</wp:posOffset>
                </wp:positionV>
                <wp:extent cx="1129665" cy="1129030"/>
                <wp:effectExtent l="0" t="0" r="0" b="0"/>
                <wp:wrapSquare wrapText="bothSides"/>
                <wp:docPr id="1" name="Frame1"/>
                <a:graphic xmlns:a="http://schemas.openxmlformats.org/drawingml/2006/main">
                  <a:graphicData uri="http://schemas.microsoft.com/office/word/2010/wordprocessingShape">
                    <wps:wsp>
                      <wps:cNvSpPr txBox="1"/>
                      <wps:spPr>
                        <a:xfrm>
                          <a:off x="0" y="0"/>
                          <a:ext cx="1129665" cy="1129030"/>
                        </a:xfrm>
                        <a:prstGeom prst="rect"/>
                        <a:solidFill>
                          <a:srgbClr val="FFFFFF">
                            <a:alpha val="0"/>
                          </a:srgbClr>
                        </a:solidFill>
                      </wps:spPr>
                      <wps:txbx>
                        <w:txbxContent>
                          <w:p>
                            <w:pPr>
                              <w:pStyle w:val="Normal"/>
                              <w:rPr/>
                            </w:pPr>
                            <w:r>
                              <w:rPr/>
                              <w:object w:dxaOrig="1778" w:dyaOrig="1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8.9pt;height:88.9pt" filled="f" o:ole="">
                                  <v:imagedata r:id="rId3" o:title=""/>
                                </v:shape>
                                <o:OLEObject Type="Embed" ProgID="" ShapeID="ole_rId2" DrawAspect="Content" ObjectID="_1978891866" r:id="rId2"/>
                              </w:object>
                            </w:r>
                          </w:p>
                        </w:txbxContent>
                      </wps:txbx>
                      <wps:bodyPr anchor="t" lIns="0" tIns="0" rIns="0" bIns="0">
                        <a:noAutofit/>
                      </wps:bodyPr>
                    </wps:wsp>
                  </a:graphicData>
                </a:graphic>
              </wp:anchor>
            </w:drawing>
          </mc:Choice>
          <mc:Fallback>
            <w:pict>
              <v:rect fillcolor="#FFFFFF" style="position:absolute;rotation:-0;width:88.95pt;height:88.9pt;mso-wrap-distance-left:9pt;mso-wrap-distance-right:9pt;mso-wrap-distance-top:0pt;mso-wrap-distance-bottom:0pt;margin-top:-62.8pt;mso-position-vertical-relative:text;margin-left:28.95pt;mso-position-horizontal-relative:page">
                <v:fill opacity="0f"/>
                <v:textbox inset="0in,0in,0in,0in">
                  <w:txbxContent>
                    <w:p>
                      <w:pPr>
                        <w:pStyle w:val="Normal"/>
                        <w:rPr/>
                      </w:pPr>
                      <w:r>
                        <w:rPr/>
                        <w:object w:dxaOrig="1778" w:dyaOrig="177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8.9pt;height:88.9pt" filled="f" o:ole="">
                            <v:imagedata r:id="rId5" o:title=""/>
                          </v:shape>
                          <o:OLEObject Type="Embed" ProgID="" ShapeID="ole_rId4" DrawAspect="Content" ObjectID="_1433503328" r:id="rId4"/>
                        </w:object>
                      </w:r>
                    </w:p>
                  </w:txbxContent>
                </v:textbox>
                <w10:wrap type="square"/>
              </v:rect>
            </w:pict>
          </mc:Fallback>
        </mc:AlternateContent>
      </w:r>
    </w:p>
    <w:p>
      <w:pPr>
        <w:pStyle w:val="MessageHeaderFirst"/>
        <w:rPr/>
      </w:pPr>
      <w:r>
        <w:rPr>
          <w:rStyle w:val="MessageHeaderLabel"/>
          <w:rFonts w:cs="Times New Roman" w:ascii="Times New Roman" w:hAnsi="Times New Roman"/>
        </w:rPr>
        <w:t>Date:</w:t>
      </w:r>
      <w:r>
        <w:rPr>
          <w:rFonts w:cs="Times New Roman" w:ascii="Times New Roman" w:hAnsi="Times New Roman"/>
        </w:rPr>
        <w:tab/>
        <w:t xml:space="preserve">May 2000 </w:t>
      </w:r>
    </w:p>
    <w:p>
      <w:pPr>
        <w:pStyle w:val="MessageHeaderFirst"/>
        <w:rPr/>
      </w:pPr>
      <w:r>
        <w:rPr>
          <w:rStyle w:val="MessageHeaderLabel"/>
          <w:rFonts w:cs="Times New Roman" w:ascii="Times New Roman" w:hAnsi="Times New Roman"/>
        </w:rPr>
        <w:t>To:</w:t>
      </w:r>
      <w:r>
        <w:rPr>
          <w:rFonts w:cs="Times New Roman" w:ascii="Times New Roman" w:hAnsi="Times New Roman"/>
        </w:rPr>
        <w:t xml:space="preserve">            John Sherriff, Richard Lewis, Fernley Dyson, Michael Moscoso, David Port, Sally Beck                 </w:t>
      </w:r>
    </w:p>
    <w:p>
      <w:pPr>
        <w:pStyle w:val="MessageHeader"/>
        <w:ind w:hanging="0" w:start="0" w:end="0"/>
        <w:rPr>
          <w:rStyle w:val="MessageHeaderLabel"/>
          <w:rFonts w:ascii="Times New Roman" w:hAnsi="Times New Roman" w:cs="Times New Roman"/>
          <w:sz w:val="20"/>
        </w:rPr>
      </w:pPr>
      <w:r>
        <w:rPr>
          <w:rFonts w:cs="Times New Roman" w:ascii="Times New Roman" w:hAnsi="Times New Roman"/>
        </w:rPr>
      </w:r>
    </w:p>
    <w:p>
      <w:pPr>
        <w:pStyle w:val="MessageHeader"/>
        <w:ind w:hanging="0" w:start="0" w:end="0"/>
        <w:rPr/>
      </w:pPr>
      <w:r>
        <w:rPr>
          <w:rStyle w:val="MessageHeaderLabel"/>
          <w:rFonts w:cs="Times New Roman" w:ascii="Times New Roman" w:hAnsi="Times New Roman"/>
        </w:rPr>
        <w:t>From:</w:t>
      </w:r>
      <w:r>
        <w:rPr>
          <w:rFonts w:cs="Times New Roman" w:ascii="Times New Roman" w:hAnsi="Times New Roman"/>
        </w:rPr>
        <w:tab/>
        <w:t xml:space="preserve"> James New</w:t>
      </w:r>
    </w:p>
    <w:p>
      <w:pPr>
        <w:pStyle w:val="MessageHeaderLast"/>
        <w:ind w:hanging="0" w:start="0" w:end="0"/>
        <w:rPr>
          <w:rFonts w:ascii="Times New Roman" w:hAnsi="Times New Roman" w:cs="Times New Roman"/>
          <w:b/>
          <w:sz w:val="22"/>
          <w:u w:val="single"/>
        </w:rPr>
      </w:pPr>
      <w:r>
        <w:rPr>
          <w:rStyle w:val="MessageHeaderLabel"/>
          <w:rFonts w:cs="Times New Roman" w:ascii="Times New Roman" w:hAnsi="Times New Roman"/>
        </w:rPr>
        <w:t>Re:</w:t>
      </w:r>
      <w:r>
        <w:rPr>
          <w:rFonts w:cs="Times New Roman" w:ascii="Times New Roman" w:hAnsi="Times New Roman"/>
        </w:rPr>
        <w:tab/>
        <w:t xml:space="preserve"> </w:t>
      </w:r>
      <w:r>
        <w:rPr>
          <w:b/>
          <w:u w:val="single"/>
        </w:rPr>
        <w:t>UK Power – April 2000 Curve Validation and Profit and Loss Report</w:t>
      </w:r>
    </w:p>
    <w:p>
      <w:pPr>
        <w:pStyle w:val="MessageHeader"/>
        <w:tabs>
          <w:tab w:val="clear" w:pos="720"/>
          <w:tab w:val="left" w:pos="0" w:leader="none"/>
        </w:tabs>
        <w:ind w:hanging="0" w:start="0" w:end="0"/>
        <w:rPr/>
      </w:pPr>
      <w:r>
        <w:rPr/>
        <w:t>The purpose of this memorandum is to summarise our review of the UK Power Curves used as at the 28</w:t>
      </w:r>
      <w:r>
        <w:rPr>
          <w:vertAlign w:val="superscript"/>
        </w:rPr>
        <w:t>th</w:t>
      </w:r>
      <w:r>
        <w:rPr/>
        <w:t xml:space="preserve">  April 2000 and analyse the reported profits of the book.</w:t>
      </w:r>
    </w:p>
    <w:p>
      <w:pPr>
        <w:pStyle w:val="MessageHeader"/>
        <w:tabs>
          <w:tab w:val="clear" w:pos="720"/>
          <w:tab w:val="left" w:pos="0" w:leader="none"/>
        </w:tabs>
        <w:rPr>
          <w:b/>
          <w:u w:val="single"/>
        </w:rPr>
      </w:pPr>
      <w:r>
        <w:rPr>
          <w:b/>
          <w:u w:val="single"/>
        </w:rPr>
      </w:r>
    </w:p>
    <w:p>
      <w:pPr>
        <w:pStyle w:val="MessageHeader"/>
        <w:tabs>
          <w:tab w:val="clear" w:pos="720"/>
          <w:tab w:val="left" w:pos="0" w:leader="none"/>
        </w:tabs>
        <w:rPr>
          <w:b/>
          <w:u w:val="single"/>
        </w:rPr>
      </w:pPr>
      <w:r>
        <w:rPr>
          <w:b/>
          <w:u w:val="single"/>
        </w:rPr>
        <w:t>A- Executive Summary</w:t>
      </w:r>
    </w:p>
    <w:p>
      <w:pPr>
        <w:pStyle w:val="MessageHeader"/>
        <w:tabs>
          <w:tab w:val="clear" w:pos="720"/>
          <w:tab w:val="left" w:pos="0" w:leader="none"/>
        </w:tabs>
        <w:ind w:hanging="0" w:start="0" w:end="0"/>
        <w:rPr/>
      </w:pPr>
      <w:r>
        <w:rPr/>
        <w:t>Having reviewed the UK Power Curves, we conclude the curves are constructed with an objective methodology, using the latest data, where available, and are consistent with relevant market information. Subject to the limitations we have found as detailed below, the value of the positions, at the 28th April, is not materially misstated. The loss for the month of April  was £2.3m (March £31.8m profit) and the total net assets were £231.3m (March £233.7m).</w:t>
      </w:r>
    </w:p>
    <w:p>
      <w:pPr>
        <w:pStyle w:val="MessageHeader"/>
        <w:tabs>
          <w:tab w:val="clear" w:pos="720"/>
          <w:tab w:val="left" w:pos="0" w:leader="none"/>
        </w:tabs>
        <w:ind w:hanging="0" w:start="0" w:end="0"/>
        <w:rPr/>
      </w:pPr>
      <w:r>
        <w:rPr/>
        <w:t>Of the loss of £2.3m, approximately £1.1m was due to forward delta - £2.5m profit on LOLP, and approximately £(1.6)m for Summer 2000, £(3.0)m for Winter 2000 and  £1.0m for Summer and Winter 2001.</w:t>
      </w:r>
    </w:p>
    <w:p>
      <w:pPr>
        <w:pStyle w:val="MessageHeader"/>
        <w:tabs>
          <w:tab w:val="clear" w:pos="720"/>
          <w:tab w:val="left" w:pos="0" w:leader="none"/>
        </w:tabs>
        <w:ind w:hanging="0" w:start="0" w:end="0"/>
        <w:rPr/>
      </w:pPr>
      <w:r>
        <w:rPr/>
        <w:t>The liquid parts of the curve agree to the broker quotes. Further analysis can be seen in Section 2.1.</w:t>
      </w:r>
    </w:p>
    <w:p>
      <w:pPr>
        <w:pStyle w:val="MessageHeader"/>
        <w:tabs>
          <w:tab w:val="clear" w:pos="720"/>
          <w:tab w:val="left" w:pos="0" w:leader="none"/>
        </w:tabs>
        <w:ind w:hanging="0" w:start="0" w:end="0"/>
        <w:rPr/>
      </w:pPr>
      <w:r>
        <w:rPr/>
        <w:t xml:space="preserve">Cash realised in the month was an outflow of £0.7m, (March £4.1m inflow) for the UK Power book. The number of trades done during April  were 385, compared to 557 in March. </w:t>
      </w:r>
    </w:p>
    <w:p>
      <w:pPr>
        <w:pStyle w:val="MessageHeader"/>
        <w:tabs>
          <w:tab w:val="clear" w:pos="720"/>
          <w:tab w:val="left" w:pos="0" w:leader="none"/>
        </w:tabs>
        <w:ind w:hanging="0" w:start="0" w:end="0"/>
        <w:rPr/>
      </w:pPr>
      <w:r>
        <w:rPr/>
        <w:t>During the review period Enron sold its equity in the 790 MW Sutton Bridge power station to EdF. The CTA was novated to EdF which transfers the gas and power commodity positions from the Sutton Bridge project to a 3td-party toller. A new 6 month 700 MW purchase from EdF was recognised to provide EdF a traditional hedge for Sutton Bridge’s power production.</w:t>
      </w:r>
    </w:p>
    <w:p>
      <w:pPr>
        <w:pStyle w:val="MessageHeader"/>
        <w:tabs>
          <w:tab w:val="clear" w:pos="720"/>
          <w:tab w:val="left" w:pos="0" w:leader="none"/>
        </w:tabs>
        <w:ind w:hanging="0" w:start="0" w:end="0"/>
        <w:rPr/>
      </w:pPr>
      <w:r>
        <w:rPr/>
        <w:t>The transaction resulted in a significant shorting of Enron’s UK Power position by approx 49.9Twhrs which required board approval for short term risk limit increases.</w:t>
      </w:r>
    </w:p>
    <w:p>
      <w:pPr>
        <w:pStyle w:val="MessageHeader"/>
        <w:tabs>
          <w:tab w:val="clear" w:pos="720"/>
          <w:tab w:val="left" w:pos="0" w:leader="none"/>
        </w:tabs>
        <w:ind w:hanging="0" w:start="0" w:end="0"/>
        <w:rPr/>
      </w:pPr>
      <w:r>
        <w:rPr/>
        <w:t>Enron Online (EOL) have done 84 trades during April (165 during March). Entergy were still the counterparty most frequently traded on Online with 35 trades in the period – Aquila Energy Limited also used EOL for the first time this month - a sale of Winter 2000 20MW Base Load. The value of the trades for EOL at 28th April was £(9.6)m, (31st March £(19.0)m) - in general during April  Enron has taken a long position through EOL of approximately 1.0 TWh.</w:t>
      </w:r>
    </w:p>
    <w:p>
      <w:pPr>
        <w:pStyle w:val="MessageHeader"/>
        <w:tabs>
          <w:tab w:val="clear" w:pos="720"/>
          <w:tab w:val="left" w:pos="0" w:leader="none"/>
        </w:tabs>
        <w:rPr/>
      </w:pPr>
      <w:r>
        <w:rPr/>
      </w:r>
    </w:p>
    <w:p>
      <w:pPr>
        <w:pStyle w:val="MessageHeader"/>
        <w:tabs>
          <w:tab w:val="clear" w:pos="720"/>
          <w:tab w:val="left" w:pos="0" w:leader="none"/>
        </w:tabs>
        <w:rPr>
          <w:b/>
          <w:u w:val="single"/>
        </w:rPr>
      </w:pPr>
      <w:r>
        <w:rPr>
          <w:b/>
          <w:u w:val="single"/>
        </w:rPr>
        <w:t>B - Curve Validation</w:t>
      </w:r>
    </w:p>
    <w:p>
      <w:pPr>
        <w:pStyle w:val="MessageHeader"/>
        <w:tabs>
          <w:tab w:val="clear" w:pos="720"/>
          <w:tab w:val="left" w:pos="0" w:leader="none"/>
        </w:tabs>
        <w:rPr>
          <w:b/>
          <w:u w:val="single"/>
        </w:rPr>
      </w:pPr>
      <w:r>
        <w:rPr>
          <w:b/>
          <w:u w:val="single"/>
        </w:rPr>
      </w:r>
    </w:p>
    <w:p>
      <w:pPr>
        <w:pStyle w:val="MessageHeader"/>
        <w:tabs>
          <w:tab w:val="clear" w:pos="720"/>
          <w:tab w:val="left" w:pos="0" w:leader="none"/>
        </w:tabs>
        <w:rPr>
          <w:b/>
          <w:highlight w:val="green"/>
          <w:u w:val="single"/>
        </w:rPr>
      </w:pPr>
      <w:r>
        <w:rPr>
          <w:b/>
          <w:u w:val="single"/>
        </w:rPr>
        <w:t>1.  Methodology</w:t>
      </w:r>
    </w:p>
    <w:p>
      <w:pPr>
        <w:pStyle w:val="MessageHeader"/>
        <w:tabs>
          <w:tab w:val="clear" w:pos="720"/>
          <w:tab w:val="left" w:pos="0" w:leader="none"/>
        </w:tabs>
        <w:ind w:hanging="0" w:start="0" w:end="0"/>
        <w:rPr/>
      </w:pPr>
      <w:r>
        <w:rPr/>
        <w:t>The curves have been reviewed using the following criteria, and have been split in the same way as in the UK Power Market Forward Curves Document (January 2000).</w:t>
      </w:r>
    </w:p>
    <w:p>
      <w:pPr>
        <w:pStyle w:val="MessageHeader"/>
        <w:numPr>
          <w:ilvl w:val="0"/>
          <w:numId w:val="4"/>
        </w:numPr>
        <w:tabs>
          <w:tab w:val="clear" w:pos="720"/>
          <w:tab w:val="left" w:pos="0" w:leader="none"/>
        </w:tabs>
        <w:rPr/>
      </w:pPr>
      <w:r>
        <w:rPr/>
        <w:t>Broker Quote Variance - Front End</w:t>
      </w:r>
    </w:p>
    <w:p>
      <w:pPr>
        <w:pStyle w:val="MessageHeader"/>
        <w:numPr>
          <w:ilvl w:val="0"/>
          <w:numId w:val="4"/>
        </w:numPr>
        <w:tabs>
          <w:tab w:val="clear" w:pos="720"/>
          <w:tab w:val="left" w:pos="0" w:leader="none"/>
        </w:tabs>
        <w:rPr/>
      </w:pPr>
      <w:r>
        <w:rPr/>
        <w:t>Historical Trades  / Press reports - Middle</w:t>
      </w:r>
    </w:p>
    <w:p>
      <w:pPr>
        <w:pStyle w:val="MessageHeader"/>
        <w:numPr>
          <w:ilvl w:val="0"/>
          <w:numId w:val="4"/>
        </w:numPr>
        <w:tabs>
          <w:tab w:val="clear" w:pos="720"/>
          <w:tab w:val="left" w:pos="0" w:leader="none"/>
        </w:tabs>
        <w:rPr/>
      </w:pPr>
      <w:r>
        <w:rPr/>
        <w:t>Curve Construction  - Back End</w:t>
      </w:r>
    </w:p>
    <w:p>
      <w:pPr>
        <w:pStyle w:val="MessageHeader"/>
        <w:tabs>
          <w:tab w:val="clear" w:pos="720"/>
          <w:tab w:val="left" w:pos="0" w:leader="none"/>
        </w:tabs>
        <w:ind w:hanging="0" w:start="0" w:end="0"/>
        <w:rPr>
          <w:b/>
          <w:u w:val="single"/>
        </w:rPr>
      </w:pPr>
      <w:r>
        <w:rPr>
          <w:b/>
          <w:u w:val="single"/>
        </w:rPr>
      </w:r>
    </w:p>
    <w:p>
      <w:pPr>
        <w:pStyle w:val="MessageHeader"/>
        <w:tabs>
          <w:tab w:val="clear" w:pos="720"/>
          <w:tab w:val="left" w:pos="0" w:leader="none"/>
        </w:tabs>
        <w:ind w:hanging="0" w:start="0" w:end="0"/>
        <w:rPr>
          <w:b/>
          <w:u w:val="single"/>
        </w:rPr>
      </w:pPr>
      <w:r>
        <w:rPr>
          <w:b/>
          <w:u w:val="single"/>
        </w:rPr>
      </w:r>
    </w:p>
    <w:p>
      <w:pPr>
        <w:pStyle w:val="MessageHeader"/>
        <w:tabs>
          <w:tab w:val="clear" w:pos="720"/>
          <w:tab w:val="left" w:pos="0" w:leader="none"/>
        </w:tabs>
        <w:ind w:hanging="0" w:start="0" w:end="0"/>
        <w:rPr>
          <w:b/>
          <w:u w:val="single"/>
        </w:rPr>
      </w:pPr>
      <w:r>
        <w:rPr>
          <w:b/>
          <w:u w:val="single"/>
        </w:rPr>
        <w:t>2.   Review – Power Delta</w:t>
      </w:r>
    </w:p>
    <w:p>
      <w:pPr>
        <w:pStyle w:val="MessageHeader"/>
        <w:tabs>
          <w:tab w:val="clear" w:pos="720"/>
          <w:tab w:val="left" w:pos="0" w:leader="none"/>
        </w:tabs>
        <w:ind w:hanging="0" w:start="0" w:end="0"/>
        <w:rPr>
          <w:b/>
          <w:u w:val="single"/>
        </w:rPr>
      </w:pPr>
      <w:r>
        <w:rPr>
          <w:b/>
          <w:u w:val="single"/>
        </w:rPr>
      </w:r>
    </w:p>
    <w:p>
      <w:pPr>
        <w:pStyle w:val="MessageHeader"/>
        <w:tabs>
          <w:tab w:val="clear" w:pos="720"/>
          <w:tab w:val="left" w:pos="0" w:leader="none"/>
        </w:tabs>
        <w:ind w:hanging="0" w:start="0" w:end="0"/>
        <w:rPr>
          <w:b/>
          <w:u w:val="single"/>
        </w:rPr>
      </w:pPr>
      <w:r>
        <w:rPr>
          <w:b/>
          <w:u w:val="single"/>
        </w:rPr>
        <w:t>2.1  Broker Quote Variance – Front End (June 2000 –  March 2002)</w:t>
      </w:r>
    </w:p>
    <w:p>
      <w:pPr>
        <w:pStyle w:val="MessageHeader"/>
        <w:tabs>
          <w:tab w:val="clear" w:pos="720"/>
          <w:tab w:val="left" w:pos="0" w:leader="none"/>
        </w:tabs>
        <w:ind w:hanging="0" w:start="0" w:end="0"/>
        <w:rPr/>
      </w:pPr>
      <w:r>
        <w:rPr/>
        <w:t>Broker prices that were available for different load shapes and time periods were compared with the curve as at 28th April 2000.The total implied overstatement of profits was estimated to be £103k</w:t>
      </w:r>
      <w:r>
        <w:rPr>
          <w:b/>
        </w:rPr>
        <w:t xml:space="preserve"> </w:t>
      </w:r>
      <w:r>
        <w:rPr/>
        <w:t>(March 2000 £466k understated)</w:t>
      </w:r>
      <w:r>
        <w:rPr>
          <w:b/>
        </w:rPr>
        <w:t xml:space="preserve"> </w:t>
      </w:r>
      <w:r>
        <w:rPr/>
        <w:t xml:space="preserve">which was considered immaterial, and no P&amp;L adjustments have been made. </w:t>
      </w:r>
    </w:p>
    <w:p>
      <w:pPr>
        <w:pStyle w:val="MessageHeader"/>
        <w:tabs>
          <w:tab w:val="clear" w:pos="720"/>
          <w:tab w:val="left" w:pos="0" w:leader="none"/>
        </w:tabs>
        <w:ind w:hanging="0" w:start="0" w:end="0"/>
        <w:rPr/>
      </w:pPr>
      <w:r>
        <w:rPr/>
        <w:t>The curve for May 2000 and June 2000 are 34p above and 23p above the broker quotes respectively, giving an estimated understatement of profits of £(148)k and £(132)k respectively. The Enron curve values for the remaining months / seasons showed a variance of 34p over broker quotes for Quarter 3 of 2000, when compared to the prices obtained. This variance gives an over valuation of £384k, resulting in a total of £103k overstatement. Full details are included in Appendix 1.</w:t>
      </w:r>
    </w:p>
    <w:p>
      <w:pPr>
        <w:pStyle w:val="MessageHeader"/>
        <w:tabs>
          <w:tab w:val="clear" w:pos="720"/>
          <w:tab w:val="left" w:pos="0" w:leader="none"/>
        </w:tabs>
        <w:ind w:hanging="0" w:start="0" w:end="0"/>
        <w:rPr/>
      </w:pPr>
      <w:r>
        <w:rPr/>
        <w:t xml:space="preserve">This method of validation is only relevant for the period for which quotes were available.  Therefore, this method only verifies the curve for the first 18 months.  </w:t>
      </w:r>
    </w:p>
    <w:p>
      <w:pPr>
        <w:pStyle w:val="MessageHeader"/>
        <w:tabs>
          <w:tab w:val="clear" w:pos="720"/>
          <w:tab w:val="left" w:pos="0" w:leader="none"/>
        </w:tabs>
        <w:ind w:hanging="0" w:start="0" w:end="0"/>
        <w:rPr/>
      </w:pPr>
      <w:r>
        <w:rPr/>
        <w:t xml:space="preserve">The analysis of the broker quotes for the front end of the curve over the quarter has shown that the traders curves have been consistent. The large movements in the market have been evidenced via the broker quotes, and matched daily to the Enron curves. </w:t>
      </w:r>
    </w:p>
    <w:p>
      <w:pPr>
        <w:pStyle w:val="MessageHeader"/>
        <w:tabs>
          <w:tab w:val="clear" w:pos="720"/>
          <w:tab w:val="left" w:pos="0" w:leader="none"/>
        </w:tabs>
        <w:ind w:hanging="0" w:start="0" w:end="0"/>
        <w:rPr>
          <w:b/>
          <w:u w:val="single"/>
        </w:rPr>
      </w:pPr>
      <w:r>
        <w:rPr>
          <w:b/>
          <w:u w:val="single"/>
        </w:rPr>
      </w:r>
    </w:p>
    <w:p>
      <w:pPr>
        <w:pStyle w:val="MessageHeader"/>
        <w:tabs>
          <w:tab w:val="clear" w:pos="720"/>
          <w:tab w:val="left" w:pos="0" w:leader="none"/>
        </w:tabs>
        <w:ind w:hanging="0" w:start="0" w:end="0"/>
        <w:rPr>
          <w:b/>
          <w:u w:val="single"/>
        </w:rPr>
      </w:pPr>
      <w:r>
        <w:rPr>
          <w:b/>
          <w:u w:val="single"/>
        </w:rPr>
        <w:t>2.2  Historical Trades – Middle ( 2002 – 2010)</w:t>
      </w:r>
    </w:p>
    <w:p>
      <w:pPr>
        <w:pStyle w:val="MessageHeader"/>
        <w:tabs>
          <w:tab w:val="clear" w:pos="720"/>
          <w:tab w:val="left" w:pos="0" w:leader="none"/>
        </w:tabs>
        <w:ind w:hanging="0" w:start="0" w:end="0"/>
        <w:rPr/>
      </w:pPr>
      <w:r>
        <w:rPr/>
        <w:t>There were no trades completed by Enron for this period in April.  The latest trades for this period were done during September when there were a series of peak winter swaps and swaptions and summer peak swaptions for the next 5 years to September 2005 with National Power  which greatly reduced our 5 year peak position plus a 10 year baseload deal with Magnox. The most recent long-term trades done by Enron are the Magnox deal (10 year baseload 50MW ) done on 21</w:t>
      </w:r>
      <w:r>
        <w:rPr>
          <w:vertAlign w:val="superscript"/>
        </w:rPr>
        <w:t>st</w:t>
      </w:r>
      <w:r>
        <w:rPr/>
        <w:t xml:space="preserve"> Sept 1999 </w:t>
      </w:r>
    </w:p>
    <w:p>
      <w:pPr>
        <w:pStyle w:val="MessageHeader"/>
        <w:tabs>
          <w:tab w:val="clear" w:pos="720"/>
          <w:tab w:val="left" w:pos="0" w:leader="none"/>
        </w:tabs>
        <w:ind w:hanging="0" w:start="0" w:end="0"/>
        <w:rPr/>
      </w:pPr>
      <w:r>
        <w:rPr/>
        <w:t xml:space="preserve">During March there has been a firm offer on a 10 year swap via a broker quoted which caused the curve to be marked down. </w:t>
      </w:r>
    </w:p>
    <w:p>
      <w:pPr>
        <w:pStyle w:val="MessageHeader"/>
        <w:tabs>
          <w:tab w:val="clear" w:pos="720"/>
          <w:tab w:val="left" w:pos="0" w:leader="none"/>
        </w:tabs>
        <w:ind w:hanging="0" w:start="0" w:end="0"/>
        <w:rPr/>
      </w:pPr>
      <w:r>
        <w:rPr/>
        <w:t>The longest external trades done by Enron in April were for Winter 2001 / 02.</w:t>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b/>
          <w:u w:val="single"/>
        </w:rPr>
      </w:pPr>
      <w:r>
        <w:rPr>
          <w:b/>
          <w:u w:val="single"/>
        </w:rPr>
        <w:t>2.3  Curve Construction – Back End (2010-2025)</w:t>
      </w:r>
    </w:p>
    <w:p>
      <w:pPr>
        <w:pStyle w:val="MessageHeader"/>
        <w:tabs>
          <w:tab w:val="clear" w:pos="720"/>
          <w:tab w:val="left" w:pos="0" w:leader="none"/>
        </w:tabs>
        <w:ind w:hanging="0" w:start="0" w:end="0"/>
        <w:rPr/>
      </w:pPr>
      <w:r>
        <w:rPr/>
        <w:t xml:space="preserve">The back end of the curve did not move during April. Over the long term the curve is determined by considering the long-term cost of producing electricity.  Using the Gas Forward curve and the latest economics for a 1200MW plant it is possible to create a forward cost of power from the latest CCGT i.e. the most efficient plant available. (The method is discussed at greater length in the UK Power Market Forward Curves Document by Power Risk Management, January 2000). </w:t>
      </w:r>
    </w:p>
    <w:p>
      <w:pPr>
        <w:pStyle w:val="MessageHeader"/>
        <w:tabs>
          <w:tab w:val="clear" w:pos="720"/>
          <w:tab w:val="left" w:pos="0" w:leader="none"/>
        </w:tabs>
        <w:ind w:hanging="0" w:start="0" w:end="0"/>
        <w:rPr>
          <w:rFonts w:eastAsia="Arial"/>
        </w:rPr>
      </w:pPr>
      <w:r>
        <w:rPr>
          <w:rFonts w:eastAsia="Arial"/>
        </w:rPr>
        <w:t xml:space="preserve"> </w:t>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b/>
          <w:u w:val="single"/>
        </w:rPr>
      </w:pPr>
      <w:r>
        <w:rPr>
          <w:b/>
          <w:u w:val="single"/>
        </w:rPr>
        <w:t>3 Review – Other Risk Variables</w:t>
      </w:r>
    </w:p>
    <w:p>
      <w:pPr>
        <w:pStyle w:val="MessageHeader"/>
        <w:tabs>
          <w:tab w:val="clear" w:pos="720"/>
          <w:tab w:val="left" w:pos="0" w:leader="none"/>
        </w:tabs>
        <w:ind w:hanging="0" w:start="0" w:end="0"/>
        <w:rPr/>
      </w:pPr>
      <w:r>
        <w:rPr/>
        <w:t>Interest rate risk is not reviewed as all P&amp;L derived from this is passed to the Interest rate book.</w:t>
      </w:r>
    </w:p>
    <w:p>
      <w:pPr>
        <w:pStyle w:val="MessageHeader"/>
        <w:tabs>
          <w:tab w:val="clear" w:pos="720"/>
          <w:tab w:val="left" w:pos="0" w:leader="none"/>
        </w:tabs>
        <w:ind w:hanging="0" w:start="0" w:end="0"/>
        <w:rPr/>
      </w:pPr>
      <w:r>
        <w:rPr/>
        <w:t>The present value of options and swaptions at the end of April was £(28.7)m (March £(28.0)m) with maturities going out to February 2005</w:t>
      </w:r>
    </w:p>
    <w:p>
      <w:pPr>
        <w:pStyle w:val="MessageHeader"/>
        <w:tabs>
          <w:tab w:val="clear" w:pos="720"/>
          <w:tab w:val="left" w:pos="0" w:leader="none"/>
        </w:tabs>
        <w:ind w:hanging="0" w:start="0" w:end="0"/>
        <w:rPr>
          <w:rFonts w:eastAsia="Arial"/>
          <w:i/>
          <w:i/>
        </w:rPr>
      </w:pPr>
      <w:r>
        <w:rPr>
          <w:rFonts w:eastAsia="Arial"/>
          <w:i/>
        </w:rPr>
        <w:t xml:space="preserve"> </w:t>
      </w:r>
    </w:p>
    <w:p>
      <w:pPr>
        <w:pStyle w:val="MessageHeader"/>
        <w:tabs>
          <w:tab w:val="clear" w:pos="720"/>
          <w:tab w:val="left" w:pos="0" w:leader="none"/>
        </w:tabs>
        <w:ind w:hanging="0" w:start="0" w:end="0"/>
        <w:rPr/>
      </w:pPr>
      <w:r>
        <w:rPr/>
        <w:t>There are no market quotes for implied volatilities. Trades are compared to volatilities implied from option trades completed or reported in the month to ensure consistency. Volatility ladders were</w:t>
      </w:r>
      <w:r>
        <w:rPr>
          <w:i/>
        </w:rPr>
        <w:t xml:space="preserve"> </w:t>
      </w:r>
      <w:r>
        <w:rPr/>
        <w:t>calculated to quantify the sensitivity of the portfolio to volatility moves.</w:t>
      </w:r>
      <w:r>
        <w:rPr>
          <w:i/>
        </w:rPr>
        <w:t xml:space="preserve"> </w:t>
      </w:r>
      <w:r>
        <w:rPr/>
        <w:t>Enron is now net long</w:t>
      </w:r>
      <w:r>
        <w:rPr>
          <w:i/>
        </w:rPr>
        <w:t xml:space="preserve"> </w:t>
      </w:r>
      <w:r>
        <w:rPr/>
        <w:t>volatility</w:t>
      </w:r>
      <w:r>
        <w:rPr>
          <w:i/>
        </w:rPr>
        <w:t>.</w:t>
      </w:r>
      <w:r>
        <w:rPr/>
        <w:t xml:space="preserve"> For a baseload volatility move of +/- 1% the implied P&amp;L would  be a profit of £111k / loss of £131k respectively (March profit of £239k / loss of £199k). </w:t>
      </w:r>
    </w:p>
    <w:p>
      <w:pPr>
        <w:pStyle w:val="BodyText"/>
        <w:spacing w:lineRule="auto" w:line="240"/>
        <w:rPr/>
      </w:pPr>
      <w:r>
        <w:rPr/>
        <w:t>There were 22 swaptions / options  traded this month by Enron (March 6). The volatility on these trades was on average 14.5% (March 11.0%). Latest trades for Winter 2000 were at 15%</w:t>
      </w:r>
    </w:p>
    <w:p>
      <w:pPr>
        <w:pStyle w:val="BodyText"/>
        <w:spacing w:lineRule="auto" w:line="240"/>
        <w:rPr/>
      </w:pPr>
      <w:r>
        <w:rPr/>
        <w:t>There were no swaptions traded during April 2000 which were not completed by Enron.</w:t>
      </w:r>
    </w:p>
    <w:p>
      <w:pPr>
        <w:pStyle w:val="BodyText"/>
        <w:spacing w:lineRule="auto" w:line="240"/>
        <w:rPr/>
      </w:pPr>
      <w:r>
        <w:rPr/>
        <w:t>There are no market quotes for LOLP</w:t>
      </w:r>
      <w:r>
        <w:rPr>
          <w:i/>
        </w:rPr>
        <w:t xml:space="preserve">. </w:t>
      </w:r>
      <w:r>
        <w:rPr/>
        <w:t>There is currently a long position of 3.4</w:t>
      </w:r>
      <w:r>
        <w:rPr>
          <w:i/>
        </w:rPr>
        <w:t xml:space="preserve"> </w:t>
      </w:r>
      <w:r>
        <w:rPr/>
        <w:t>TWh out to</w:t>
      </w:r>
      <w:r>
        <w:rPr>
          <w:i/>
        </w:rPr>
        <w:t xml:space="preserve"> </w:t>
      </w:r>
      <w:r>
        <w:rPr/>
        <w:t>September 2000</w:t>
      </w:r>
      <w:r>
        <w:rPr>
          <w:i/>
        </w:rPr>
        <w:t xml:space="preserve">, </w:t>
      </w:r>
      <w:r>
        <w:rPr/>
        <w:t>and the</w:t>
      </w:r>
      <w:r>
        <w:rPr>
          <w:i/>
        </w:rPr>
        <w:t xml:space="preserve"> </w:t>
      </w:r>
      <w:r>
        <w:rPr/>
        <w:t>curve as at 28</w:t>
      </w:r>
      <w:r>
        <w:rPr>
          <w:vertAlign w:val="superscript"/>
        </w:rPr>
        <w:t>th</w:t>
      </w:r>
      <w:r>
        <w:rPr/>
        <w:t xml:space="preserve">  April 2000 values the position at £2.71/MWh. This would suggest a maximum loss on our current position of £9.21m assuming no LOLP throughout the Summer</w:t>
      </w:r>
    </w:p>
    <w:p>
      <w:pPr>
        <w:pStyle w:val="BodyText"/>
        <w:spacing w:lineRule="auto" w:line="240"/>
        <w:rPr/>
      </w:pPr>
      <w:r>
        <w:rPr/>
      </w:r>
    </w:p>
    <w:p>
      <w:pPr>
        <w:pStyle w:val="BodyText"/>
        <w:spacing w:lineRule="auto" w:line="240"/>
        <w:rPr>
          <w:b/>
          <w:u w:val="single"/>
        </w:rPr>
      </w:pPr>
      <w:r>
        <w:rPr>
          <w:b/>
          <w:u w:val="single"/>
        </w:rPr>
        <w:t>C – P&amp;L Commentary</w:t>
      </w:r>
    </w:p>
    <w:p>
      <w:pPr>
        <w:pStyle w:val="BodyText"/>
        <w:spacing w:lineRule="auto" w:line="240"/>
        <w:rPr>
          <w:b/>
          <w:u w:val="single"/>
        </w:rPr>
      </w:pPr>
      <w:r>
        <w:rPr>
          <w:b/>
          <w:u w:val="single"/>
        </w:rPr>
      </w:r>
    </w:p>
    <w:p>
      <w:pPr>
        <w:pStyle w:val="BodyText"/>
        <w:spacing w:lineRule="auto" w:line="240"/>
        <w:rPr>
          <w:b/>
          <w:u w:val="single"/>
        </w:rPr>
      </w:pPr>
      <w:r>
        <w:rPr>
          <w:b/>
          <w:u w:val="single"/>
        </w:rPr>
        <w:t>1. Mark to Market changes</w:t>
      </w:r>
    </w:p>
    <w:p>
      <w:pPr>
        <w:pStyle w:val="BodyText"/>
        <w:spacing w:lineRule="auto" w:line="240"/>
        <w:rPr/>
      </w:pPr>
      <w:r>
        <w:rPr/>
        <w:t xml:space="preserve">The P&amp;L for April was </w:t>
      </w:r>
      <w:r>
        <w:rPr>
          <w:b/>
        </w:rPr>
        <w:t xml:space="preserve">£(2,319,978). </w:t>
      </w:r>
      <w:r>
        <w:rPr/>
        <w:t xml:space="preserve"> The main changes for April were:</w:t>
      </w:r>
    </w:p>
    <w:p>
      <w:pPr>
        <w:pStyle w:val="BodyText"/>
        <w:numPr>
          <w:ilvl w:val="0"/>
          <w:numId w:val="2"/>
        </w:numPr>
        <w:tabs>
          <w:tab w:val="clear" w:pos="720"/>
          <w:tab w:val="left" w:pos="1080" w:leader="none"/>
        </w:tabs>
        <w:spacing w:lineRule="auto" w:line="240"/>
        <w:ind w:hanging="360" w:start="1080" w:end="0"/>
        <w:rPr/>
      </w:pPr>
      <w:r>
        <w:rPr/>
        <w:t>Loss of £(7.98)m on the change in value of the April intra-month positions. This was largely due to price increases in PPP for the period 10-14</w:t>
      </w:r>
      <w:r>
        <w:rPr>
          <w:vertAlign w:val="superscript"/>
        </w:rPr>
        <w:t>TH</w:t>
      </w:r>
      <w:r>
        <w:rPr/>
        <w:t xml:space="preserve"> April 2000.</w:t>
      </w:r>
    </w:p>
    <w:p>
      <w:pPr>
        <w:pStyle w:val="BodyText"/>
        <w:numPr>
          <w:ilvl w:val="0"/>
          <w:numId w:val="2"/>
        </w:numPr>
        <w:tabs>
          <w:tab w:val="clear" w:pos="720"/>
          <w:tab w:val="left" w:pos="1080" w:leader="none"/>
        </w:tabs>
        <w:spacing w:lineRule="auto" w:line="240"/>
        <w:ind w:hanging="360" w:start="1080" w:end="0"/>
        <w:rPr/>
      </w:pPr>
      <w:r>
        <w:rPr/>
        <w:t>Origination on LOLP Call option of £1.5m with National Grid Company plc</w:t>
      </w:r>
    </w:p>
    <w:p>
      <w:pPr>
        <w:pStyle w:val="BodyText"/>
        <w:numPr>
          <w:ilvl w:val="0"/>
          <w:numId w:val="2"/>
        </w:numPr>
        <w:tabs>
          <w:tab w:val="clear" w:pos="720"/>
          <w:tab w:val="left" w:pos="1080" w:leader="none"/>
        </w:tabs>
        <w:spacing w:lineRule="auto" w:line="240"/>
        <w:ind w:hanging="360" w:start="1080" w:end="0"/>
        <w:rPr/>
      </w:pPr>
      <w:r>
        <w:rPr/>
        <w:t>Reversal of Sutton Bridge extension option in  the period resulted in £1.8m profit.</w:t>
      </w:r>
    </w:p>
    <w:p>
      <w:pPr>
        <w:pStyle w:val="BodyText"/>
        <w:numPr>
          <w:ilvl w:val="0"/>
          <w:numId w:val="6"/>
        </w:numPr>
        <w:tabs>
          <w:tab w:val="clear" w:pos="720"/>
          <w:tab w:val="left" w:pos="1080" w:leader="none"/>
        </w:tabs>
        <w:spacing w:lineRule="auto" w:line="240"/>
        <w:rPr/>
      </w:pPr>
      <w:r>
        <w:rPr/>
        <w:t>The increase in prudency reserves of £57.2m over the month was largely due to monthly increase in short position upon the sale of Sutton Bridge. This drove an increase in calculated reserve of £11.4m on PPP. In an addition a reserve of £46m was also recognised upon the sale of Sutton Bridge.</w:t>
      </w:r>
    </w:p>
    <w:p>
      <w:pPr>
        <w:pStyle w:val="BodyText"/>
        <w:numPr>
          <w:ilvl w:val="0"/>
          <w:numId w:val="6"/>
        </w:numPr>
        <w:tabs>
          <w:tab w:val="clear" w:pos="720"/>
          <w:tab w:val="left" w:pos="1080" w:leader="none"/>
        </w:tabs>
        <w:spacing w:lineRule="auto" w:line="240"/>
        <w:rPr>
          <w:b/>
          <w:u w:val="single"/>
        </w:rPr>
      </w:pPr>
      <w:r>
        <w:rPr/>
        <w:t xml:space="preserve">Curve shift, originations and rebookings of £59.6m. The forward delta for April was £(1.1)m  which was mainly due to losses of £3.6m on PPP, and gain of £2.5m on LOLP positions. The Energy Trends position did not change in the review period. An interbook. A transfer of prudency from the Spread Option Book of £58.9m was recognised in the period. </w:t>
      </w:r>
    </w:p>
    <w:p>
      <w:pPr>
        <w:pStyle w:val="BodyText"/>
        <w:tabs>
          <w:tab w:val="clear" w:pos="720"/>
          <w:tab w:val="left" w:pos="1080" w:leader="none"/>
        </w:tabs>
        <w:spacing w:lineRule="auto" w:line="240"/>
        <w:ind w:start="720" w:end="0"/>
        <w:rPr>
          <w:rFonts w:eastAsia="Arial"/>
          <w:b/>
          <w:u w:val="single"/>
        </w:rPr>
      </w:pPr>
      <w:r>
        <w:rPr>
          <w:rFonts w:eastAsia="Arial"/>
          <w:b/>
          <w:u w:val="single"/>
        </w:rPr>
        <w:t xml:space="preserve"> </w:t>
      </w:r>
    </w:p>
    <w:p>
      <w:pPr>
        <w:pStyle w:val="BodyText"/>
        <w:numPr>
          <w:ilvl w:val="0"/>
          <w:numId w:val="0"/>
        </w:numPr>
        <w:spacing w:lineRule="auto" w:line="240"/>
        <w:ind w:hanging="0" w:start="0"/>
        <w:rPr>
          <w:b/>
          <w:u w:val="single"/>
        </w:rPr>
      </w:pPr>
      <w:r>
        <w:rPr>
          <w:b/>
          <w:u w:val="single"/>
        </w:rPr>
        <w:t>2. Realised Profit</w:t>
      </w:r>
    </w:p>
    <w:p>
      <w:pPr>
        <w:pStyle w:val="BodyText"/>
        <w:numPr>
          <w:ilvl w:val="0"/>
          <w:numId w:val="0"/>
        </w:numPr>
        <w:spacing w:lineRule="auto" w:line="240"/>
        <w:ind w:hanging="0" w:start="0"/>
        <w:rPr/>
      </w:pPr>
      <w:r>
        <w:rPr/>
        <w:t xml:space="preserve">The realised loss for April was </w:t>
      </w:r>
      <w:r>
        <w:rPr>
          <w:b/>
        </w:rPr>
        <w:t>£0.69m</w:t>
      </w:r>
      <w:r>
        <w:rPr/>
        <w:t xml:space="preserve"> (March £4.13m gain).</w:t>
      </w:r>
    </w:p>
    <w:p>
      <w:pPr>
        <w:pStyle w:val="BodyText"/>
        <w:numPr>
          <w:ilvl w:val="0"/>
          <w:numId w:val="3"/>
        </w:numPr>
        <w:spacing w:lineRule="auto" w:line="240"/>
        <w:rPr/>
      </w:pPr>
      <w:r>
        <w:rPr/>
        <w:t xml:space="preserve">PPP </w:t>
      </w:r>
      <w:r>
        <w:rPr>
          <w:b/>
        </w:rPr>
        <w:t>£(2.8)m</w:t>
      </w:r>
      <w:r>
        <w:rPr/>
        <w:t xml:space="preserve"> loss (March £3.88m gain)</w:t>
      </w:r>
    </w:p>
    <w:p>
      <w:pPr>
        <w:pStyle w:val="BodyText"/>
        <w:numPr>
          <w:ilvl w:val="0"/>
          <w:numId w:val="3"/>
        </w:numPr>
        <w:spacing w:lineRule="auto" w:line="240"/>
        <w:rPr/>
      </w:pPr>
      <w:r>
        <w:rPr/>
        <w:t xml:space="preserve">SMP </w:t>
      </w:r>
      <w:r>
        <w:rPr>
          <w:b/>
        </w:rPr>
        <w:t>£0m</w:t>
      </w:r>
      <w:r>
        <w:rPr/>
        <w:t xml:space="preserve"> gain (March £0.23m gain)</w:t>
      </w:r>
    </w:p>
    <w:p>
      <w:pPr>
        <w:pStyle w:val="BodyText"/>
        <w:numPr>
          <w:ilvl w:val="0"/>
          <w:numId w:val="3"/>
        </w:numPr>
        <w:spacing w:lineRule="auto" w:line="240"/>
        <w:rPr/>
      </w:pPr>
      <w:r>
        <w:rPr/>
        <w:t xml:space="preserve">LOLP </w:t>
      </w:r>
      <w:r>
        <w:rPr>
          <w:b/>
        </w:rPr>
        <w:t>£2.1m</w:t>
      </w:r>
      <w:r>
        <w:rPr/>
        <w:t xml:space="preserve"> gain (March £0.02m gain)</w:t>
      </w:r>
    </w:p>
    <w:p>
      <w:pPr>
        <w:pStyle w:val="BodyText"/>
        <w:numPr>
          <w:ilvl w:val="0"/>
          <w:numId w:val="0"/>
        </w:numPr>
        <w:spacing w:lineRule="auto" w:line="240"/>
        <w:ind w:hanging="0" w:start="0"/>
        <w:rPr/>
      </w:pPr>
      <w:r>
        <w:rPr/>
        <w:t xml:space="preserve">The total realised gain for the four months to April  was </w:t>
      </w:r>
      <w:r>
        <w:rPr>
          <w:b/>
        </w:rPr>
        <w:t>£15.4m</w:t>
      </w:r>
      <w:r>
        <w:rPr/>
        <w:t xml:space="preserve"> </w:t>
      </w:r>
    </w:p>
    <w:p>
      <w:pPr>
        <w:pStyle w:val="BodyText"/>
        <w:numPr>
          <w:ilvl w:val="0"/>
          <w:numId w:val="0"/>
        </w:numPr>
        <w:spacing w:lineRule="auto" w:line="240"/>
        <w:ind w:firstLine="720" w:start="2160" w:end="0"/>
        <w:rPr/>
      </w:pPr>
      <w:r>
        <w:rPr/>
      </w:r>
    </w:p>
    <w:p>
      <w:pPr>
        <w:pStyle w:val="BodyText"/>
        <w:numPr>
          <w:ilvl w:val="0"/>
          <w:numId w:val="0"/>
        </w:numPr>
        <w:spacing w:lineRule="auto" w:line="240"/>
        <w:ind w:hanging="0" w:start="0"/>
        <w:rPr>
          <w:b/>
          <w:u w:val="single"/>
        </w:rPr>
      </w:pPr>
      <w:r>
        <w:rPr>
          <w:b/>
          <w:u w:val="single"/>
        </w:rPr>
        <w:t xml:space="preserve">3. Prudency    </w:t>
      </w:r>
    </w:p>
    <w:p>
      <w:pPr>
        <w:pStyle w:val="BodyText"/>
        <w:numPr>
          <w:ilvl w:val="0"/>
          <w:numId w:val="0"/>
        </w:numPr>
        <w:spacing w:lineRule="auto" w:line="240"/>
        <w:ind w:hanging="0" w:start="0"/>
        <w:rPr/>
      </w:pPr>
      <w:r>
        <w:rPr/>
        <w:t xml:space="preserve">Total prudency at 28th April was £77,637,219 (March £20,443,527). Prudency is calculated by assigning a factor to the absolute MWhs per month for each portfolio. </w:t>
      </w:r>
    </w:p>
    <w:p>
      <w:pPr>
        <w:pStyle w:val="BodyText"/>
        <w:numPr>
          <w:ilvl w:val="0"/>
          <w:numId w:val="0"/>
        </w:numPr>
        <w:spacing w:lineRule="auto" w:line="240"/>
        <w:ind w:hanging="0" w:start="0"/>
        <w:rPr/>
      </w:pPr>
      <w:r>
        <w:rPr/>
        <w:t>For PPP it is 10p in the first 6 months, 15p in the second 6 months, 25p in the third six months, 30p in the fourth 6 months and 33p from 2 years onwards for each MWh. For LOLP it is 56p for each MWh. For energy trends deals it is 75p for the first 6 months, 100p for the second 6 months, 135p for the next 12 months and 175p for 2 years onwards for each MWh.</w:t>
      </w:r>
    </w:p>
    <w:p>
      <w:pPr>
        <w:pStyle w:val="BodyText"/>
        <w:numPr>
          <w:ilvl w:val="0"/>
          <w:numId w:val="0"/>
        </w:numPr>
        <w:spacing w:lineRule="auto" w:line="240"/>
        <w:ind w:hanging="0" w:start="0"/>
        <w:rPr/>
      </w:pPr>
      <w:r>
        <w:rPr/>
        <w:t>The general prudency reserve of £7,389,740  did not change in the review period.</w:t>
      </w:r>
    </w:p>
    <w:p>
      <w:pPr>
        <w:pStyle w:val="BodyText"/>
        <w:numPr>
          <w:ilvl w:val="0"/>
          <w:numId w:val="0"/>
        </w:numPr>
        <w:spacing w:lineRule="auto" w:line="240"/>
        <w:ind w:hanging="0" w:start="0"/>
        <w:rPr/>
      </w:pPr>
      <w:r>
        <w:rPr/>
      </w:r>
    </w:p>
    <w:p>
      <w:pPr>
        <w:pStyle w:val="BodyText"/>
        <w:spacing w:lineRule="auto" w:line="240" w:before="0" w:after="0"/>
        <w:rPr/>
      </w:pPr>
      <w:r>
        <w:rPr/>
        <w:t>The reserves are summarised as follows :</w:t>
      </w:r>
    </w:p>
    <w:p>
      <w:pPr>
        <w:pStyle w:val="BodyText"/>
        <w:spacing w:lineRule="auto" w:line="240" w:before="0" w:after="0"/>
        <w:rPr>
          <w:b/>
          <w:u w:val="single"/>
        </w:rPr>
      </w:pPr>
      <w:r>
        <w:rPr>
          <w:rFonts w:eastAsia="Arial"/>
        </w:rPr>
        <w:t xml:space="preserve"> </w:t>
      </w:r>
    </w:p>
    <w:p>
      <w:pPr>
        <w:pStyle w:val="BodyText"/>
        <w:spacing w:lineRule="auto" w:line="240" w:before="0" w:after="0"/>
        <w:rPr>
          <w:b/>
          <w:u w:val="single"/>
        </w:rPr>
      </w:pPr>
      <w:r>
        <w:rPr>
          <w:b/>
          <w:u w:val="single"/>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272405" cy="126936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6"/>
                    <a:srcRect l="-6" t="-26" r="-6" b="-26"/>
                    <a:stretch>
                      <a:fillRect/>
                    </a:stretch>
                  </pic:blipFill>
                  <pic:spPr bwMode="auto">
                    <a:xfrm>
                      <a:off x="0" y="0"/>
                      <a:ext cx="5272405" cy="1269365"/>
                    </a:xfrm>
                    <a:prstGeom prst="rect">
                      <a:avLst/>
                    </a:prstGeom>
                    <a:noFill/>
                  </pic:spPr>
                </pic:pic>
              </a:graphicData>
            </a:graphic>
          </wp:anchor>
        </w:drawing>
      </w:r>
    </w:p>
    <w:p>
      <w:pPr>
        <w:pStyle w:val="BodyText"/>
        <w:spacing w:lineRule="auto" w:line="240" w:before="0" w:after="0"/>
        <w:rPr>
          <w:b/>
          <w:u w:val="single"/>
        </w:rPr>
      </w:pPr>
      <w:r>
        <w:rPr>
          <w:b/>
          <w:u w:val="single"/>
        </w:rPr>
      </w:r>
    </w:p>
    <w:p>
      <w:pPr>
        <w:pStyle w:val="BodyText"/>
        <w:spacing w:lineRule="auto" w:line="240" w:before="0" w:after="0"/>
        <w:rPr>
          <w:b/>
          <w:u w:val="single"/>
        </w:rPr>
      </w:pPr>
      <w:r>
        <w:rPr>
          <w:b/>
          <w:u w:val="single"/>
        </w:rPr>
      </w:r>
    </w:p>
    <w:p>
      <w:pPr>
        <w:pStyle w:val="BodyText"/>
        <w:spacing w:lineRule="auto" w:line="240" w:before="0" w:after="0"/>
        <w:rPr>
          <w:b/>
          <w:u w:val="single"/>
        </w:rPr>
      </w:pPr>
      <w:r>
        <w:rPr>
          <w:b/>
          <w:u w:val="single"/>
        </w:rPr>
        <w:t>4. Monthly Curve Moves</w:t>
      </w:r>
    </w:p>
    <w:p>
      <w:pPr>
        <w:pStyle w:val="BodyText"/>
        <w:spacing w:lineRule="auto" w:line="240" w:before="0" w:after="0"/>
        <w:rPr/>
      </w:pPr>
      <w:r>
        <w:rPr/>
      </w:r>
    </w:p>
    <w:p>
      <w:pPr>
        <w:pStyle w:val="BodyText"/>
        <w:spacing w:lineRule="auto" w:line="240" w:before="0" w:after="0"/>
        <w:rPr/>
      </w:pPr>
      <w:r>
        <w:rPr/>
        <w:t>During the month the forward curves moved as per the graphs in Appendix 2, 3 and 4. The Summer 2000 Peak / Off Peak spread for Summer 2000 narrowed in the period, while the spread for Winter widened.</w:t>
      </w:r>
    </w:p>
    <w:p>
      <w:pPr>
        <w:pStyle w:val="BodyText"/>
        <w:spacing w:lineRule="auto" w:line="240" w:before="0" w:after="0"/>
        <w:rPr>
          <w:rFonts w:eastAsia="Arial"/>
          <w:i/>
          <w:i/>
        </w:rPr>
      </w:pPr>
      <w:r>
        <w:rPr>
          <w:rFonts w:eastAsia="Arial"/>
          <w:i/>
        </w:rPr>
        <w:t xml:space="preserve"> </w:t>
      </w:r>
    </w:p>
    <w:p>
      <w:pPr>
        <w:pStyle w:val="BodyText"/>
        <w:spacing w:lineRule="auto" w:line="240" w:before="0" w:after="0"/>
        <w:rPr/>
      </w:pPr>
      <w:r>
        <w:rPr/>
        <w:t>Baseload prices for Summer 2000 moved up by £0.02/MWh on average, and Winter 2000 moved down by £0.37/MWh on average. Summer 2001 peaks moved down £0.04/MWh and off peaks moved down £0.14/MWh. Winters from 2001 moved down £0.02/MWh. There was no change for  Summers from 2002  forward.</w:t>
      </w:r>
    </w:p>
    <w:p>
      <w:pPr>
        <w:pStyle w:val="BodyText"/>
        <w:spacing w:lineRule="auto" w:line="240" w:before="0" w:after="0"/>
        <w:rPr>
          <w:rFonts w:eastAsia="Arial"/>
          <w:i/>
          <w:i/>
        </w:rPr>
      </w:pPr>
      <w:r>
        <w:rPr>
          <w:rFonts w:eastAsia="Arial"/>
          <w:i/>
        </w:rPr>
        <w:t xml:space="preserve"> </w:t>
      </w:r>
    </w:p>
    <w:p>
      <w:pPr>
        <w:pStyle w:val="BodyText"/>
        <w:spacing w:lineRule="auto" w:line="240" w:before="0" w:after="0"/>
        <w:rPr/>
      </w:pPr>
      <w:r>
        <w:rPr>
          <w:rFonts w:eastAsia="Arial"/>
        </w:rPr>
        <w:t xml:space="preserve"> </w:t>
      </w:r>
      <w:r>
        <w:rPr/>
        <w:t>There is currently a long LOLP position for Summer 2000 and prices moved up during April by £0.19/MWh for that period.</w:t>
      </w:r>
    </w:p>
    <w:p>
      <w:pPr>
        <w:pStyle w:val="MessageHeader"/>
        <w:tabs>
          <w:tab w:val="clear" w:pos="720"/>
          <w:tab w:val="left" w:pos="0" w:leader="none"/>
        </w:tabs>
        <w:ind w:hanging="0" w:start="0" w:end="0"/>
        <w:rPr/>
      </w:pPr>
      <w:r>
        <w:rPr/>
      </w:r>
    </w:p>
    <w:p>
      <w:pPr>
        <w:pStyle w:val="MessageHeader"/>
        <w:tabs>
          <w:tab w:val="clear" w:pos="720"/>
          <w:tab w:val="left" w:pos="0" w:leader="none"/>
        </w:tabs>
        <w:ind w:hanging="0" w:start="0" w:end="0"/>
        <w:rPr/>
      </w:pPr>
      <w:r>
        <w:rPr/>
        <w:t>The 3 year October baseload price has moved from £17.94/MWh at the end of March to £17.91/MWh at the end of April. The 5 year October baseload price has moved from £18.06/MWh at the end of March to £18.04/MWh at the end of April; the 10 year October baseload price has moved from £18.46/MWh at the end of March to £18.45/MWh at the end of April.</w:t>
      </w:r>
    </w:p>
    <w:p>
      <w:pPr>
        <w:pStyle w:val="BodyText"/>
        <w:spacing w:lineRule="auto" w:line="240" w:before="0" w:after="0"/>
        <w:rPr>
          <w:i/>
          <w:i/>
        </w:rPr>
      </w:pPr>
      <w:r>
        <w:rPr>
          <w:i/>
        </w:rPr>
      </w:r>
    </w:p>
    <w:p>
      <w:pPr>
        <w:pStyle w:val="BodyText"/>
        <w:spacing w:lineRule="auto" w:line="240" w:before="0" w:after="0"/>
        <w:rPr/>
      </w:pPr>
      <w:r>
        <w:rPr/>
        <w:t>The intramonth curve moved up consistently during April to generate approximately £(7.8)m loss. The exact reasons for this are hard to determine, but the general opinion is that it may be due to announcements of plant being taken off lie (especially by TXU), a back lash from the low prices seen the previous month and the colder wet weather seen over recent weeks.</w:t>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pPr>
      <w:r>
        <w:rPr/>
      </w:r>
    </w:p>
    <w:p>
      <w:pPr>
        <w:pStyle w:val="BodyText"/>
        <w:spacing w:lineRule="auto" w:line="240" w:before="0" w:after="0"/>
        <w:rPr>
          <w:b/>
          <w:u w:val="single"/>
        </w:rPr>
      </w:pPr>
      <w:r>
        <w:rPr>
          <w:b/>
          <w:u w:val="single"/>
        </w:rPr>
        <w:t>5. Energy Trends Electricity</w:t>
      </w:r>
    </w:p>
    <w:p>
      <w:pPr>
        <w:pStyle w:val="BodyText"/>
        <w:spacing w:lineRule="auto" w:line="240" w:before="0" w:after="0"/>
        <w:rPr>
          <w:b/>
          <w:u w:val="single"/>
        </w:rPr>
      </w:pPr>
      <w:r>
        <w:rPr>
          <w:b/>
          <w:u w:val="single"/>
        </w:rPr>
      </w:r>
    </w:p>
    <w:p>
      <w:pPr>
        <w:pStyle w:val="BodyText"/>
        <w:spacing w:lineRule="auto" w:line="240"/>
        <w:rPr/>
      </w:pPr>
      <w:r>
        <w:rPr/>
        <w:t xml:space="preserve">The current MTM of the Energy Trends position as at 28th April was £61,178,093 (March £61,002,065). </w:t>
      </w:r>
    </w:p>
    <w:p>
      <w:pPr>
        <w:pStyle w:val="BodyText"/>
        <w:spacing w:lineRule="auto" w:line="240"/>
        <w:rPr>
          <w:b/>
          <w:u w:val="single"/>
        </w:rPr>
      </w:pPr>
      <w:r>
        <w:rPr/>
        <w:t>A full explanation of the curve construction may be found in the Power Risk Management Energy Trends Curve Construction Document (revised April 2000).</w:t>
      </w:r>
    </w:p>
    <w:p>
      <w:pPr>
        <w:pStyle w:val="BodyText"/>
        <w:spacing w:lineRule="auto" w:line="240"/>
        <w:rPr>
          <w:b/>
          <w:u w:val="single"/>
        </w:rPr>
      </w:pPr>
      <w:r>
        <w:rPr>
          <w:b/>
          <w:u w:val="single"/>
        </w:rPr>
      </w:r>
    </w:p>
    <w:p>
      <w:pPr>
        <w:pStyle w:val="BodyText"/>
        <w:spacing w:lineRule="auto" w:line="240"/>
        <w:rPr>
          <w:u w:val="single"/>
        </w:rPr>
      </w:pPr>
      <w:r>
        <w:rPr>
          <w:b/>
          <w:u w:val="single"/>
        </w:rPr>
        <w:t>6. Summary of Current Position</w:t>
      </w:r>
    </w:p>
    <w:p>
      <w:pPr>
        <w:pStyle w:val="BodyText"/>
        <w:spacing w:lineRule="auto" w:line="240"/>
        <w:rPr/>
      </w:pPr>
      <w:r>
        <w:rPr/>
        <w:t>There were 385 new deals in the month (March 557) and over the month the total weighted short position increased by 38.5 TWh (March short position decreased by 2.6 TWh). The main changes in position were :</w:t>
      </w:r>
    </w:p>
    <w:p>
      <w:pPr>
        <w:pStyle w:val="BodyText"/>
        <w:numPr>
          <w:ilvl w:val="0"/>
          <w:numId w:val="5"/>
        </w:numPr>
        <w:spacing w:lineRule="auto" w:line="240"/>
        <w:rPr/>
      </w:pPr>
      <w:r>
        <w:rPr/>
        <w:t>Summer 2000 was long  by 762MW Peaks and 542MW Off Peaks on average. Q3 2000 trades shorted 405MW  Peaks / long 121MW Off Peaks on average.</w:t>
      </w:r>
    </w:p>
    <w:p>
      <w:pPr>
        <w:pStyle w:val="BodyText"/>
        <w:numPr>
          <w:ilvl w:val="0"/>
          <w:numId w:val="5"/>
        </w:numPr>
        <w:spacing w:lineRule="auto" w:line="240"/>
        <w:rPr/>
      </w:pPr>
      <w:r>
        <w:rPr/>
        <w:t>Shorting of position upon the sale of Sutton Bridge by approx 49.9Twhrs.</w:t>
      </w:r>
    </w:p>
    <w:p>
      <w:pPr>
        <w:pStyle w:val="BodyText"/>
        <w:numPr>
          <w:ilvl w:val="0"/>
          <w:numId w:val="5"/>
        </w:numPr>
        <w:spacing w:lineRule="auto" w:line="240"/>
        <w:rPr/>
      </w:pPr>
      <w:r>
        <w:rPr/>
        <w:t xml:space="preserve">The longest dated external trade was for Winter 2001 / 2002. </w:t>
      </w:r>
    </w:p>
    <w:p>
      <w:pPr>
        <w:pStyle w:val="BodyText"/>
        <w:spacing w:lineRule="auto" w:line="240"/>
        <w:rPr/>
      </w:pPr>
      <w:r>
        <w:rPr/>
        <w:t xml:space="preserve">The un-weighted discounted positions are broken down as follows : </w:t>
      </w:r>
    </w:p>
    <w:p>
      <w:pPr>
        <w:pStyle w:val="BodyText"/>
        <w:spacing w:lineRule="auto" w:line="240"/>
        <w:rPr/>
      </w:pPr>
      <w:r>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271770" cy="127381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7"/>
                    <a:srcRect l="-5" t="-21" r="-5" b="-21"/>
                    <a:stretch>
                      <a:fillRect/>
                    </a:stretch>
                  </pic:blipFill>
                  <pic:spPr bwMode="auto">
                    <a:xfrm>
                      <a:off x="0" y="0"/>
                      <a:ext cx="5271770" cy="1273810"/>
                    </a:xfrm>
                    <a:prstGeom prst="rect">
                      <a:avLst/>
                    </a:prstGeom>
                    <a:noFill/>
                  </pic:spPr>
                </pic:pic>
              </a:graphicData>
            </a:graphic>
          </wp:anchor>
        </w:drawing>
      </w:r>
    </w:p>
    <w:p>
      <w:pPr>
        <w:pStyle w:val="BodyText"/>
        <w:spacing w:lineRule="auto" w:line="240"/>
        <w:rPr>
          <w:b/>
        </w:rPr>
      </w:pPr>
      <w:r>
        <w:rPr/>
        <w:t>Graphs, by EFA slot, of the un-weighted volumes of PPP, SMP and LOLP in MWh are presented in Appendix 5 at January 2000.</w:t>
      </w:r>
    </w:p>
    <w:p>
      <w:pPr>
        <w:pStyle w:val="BodyText"/>
        <w:spacing w:lineRule="auto" w:line="240"/>
        <w:rPr>
          <w:b/>
        </w:rPr>
      </w:pPr>
      <w:r>
        <w:rPr>
          <w:b/>
        </w:rPr>
      </w:r>
    </w:p>
    <w:p>
      <w:pPr>
        <w:pStyle w:val="BodyText"/>
        <w:spacing w:lineRule="auto" w:line="240"/>
        <w:ind w:end="-145"/>
        <w:rPr>
          <w:b/>
          <w:u w:val="single"/>
        </w:rPr>
      </w:pPr>
      <w:r>
        <w:rPr>
          <w:b/>
          <w:u w:val="single"/>
        </w:rPr>
        <w:t>7. Value at Risk</w:t>
      </w:r>
    </w:p>
    <w:p>
      <w:pPr>
        <w:pStyle w:val="BodyText"/>
        <w:spacing w:lineRule="auto" w:line="240"/>
        <w:rPr/>
      </w:pPr>
      <w:r>
        <w:rPr/>
        <w:t>The 1 day value at risk at 28th April was £8,766,050</w:t>
      </w:r>
      <w:r>
        <w:rPr>
          <w:b/>
        </w:rPr>
        <w:t xml:space="preserve"> </w:t>
      </w:r>
      <w:r>
        <w:rPr/>
        <w:t>using a 5% 1 tail confidence interval (March £4,262,826). This rise was again due to positional increase following the sale of Sutton Bridge.</w:t>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MessageHeader"/>
        <w:tabs>
          <w:tab w:val="clear" w:pos="720"/>
          <w:tab w:val="left" w:pos="0" w:leader="none"/>
        </w:tabs>
        <w:ind w:hanging="0" w:start="0" w:end="0"/>
        <w:rPr>
          <w:b/>
        </w:rPr>
      </w:pPr>
      <w:r>
        <w:rPr>
          <w:b/>
        </w:rPr>
      </w:r>
    </w:p>
    <w:p>
      <w:pPr>
        <w:pStyle w:val="MessageHeader"/>
        <w:tabs>
          <w:tab w:val="clear" w:pos="720"/>
          <w:tab w:val="left" w:pos="0" w:leader="none"/>
        </w:tabs>
        <w:ind w:hanging="0" w:start="0" w:end="0"/>
        <w:rPr>
          <w:b/>
        </w:rPr>
      </w:pPr>
      <w:r>
        <w:rPr>
          <w:b/>
        </w:rPr>
        <w:t>Appendix 1.</w:t>
      </w:r>
    </w:p>
    <w:p>
      <w:pPr>
        <w:pStyle w:val="BodyText"/>
        <w:spacing w:lineRule="auto" w:line="240"/>
        <w:rPr>
          <w:b/>
        </w:rPr>
      </w:pPr>
      <w:r>
        <w:rPr/>
        <w:t>Broker Quotes Comparison</w:t>
      </w:r>
    </w:p>
    <w:p>
      <w:pPr>
        <w:pStyle w:val="BodyText"/>
        <w:spacing w:lineRule="auto" w:line="240"/>
        <w:rPr>
          <w:b/>
        </w:rPr>
      </w:pPr>
      <w:r>
        <w:rPr>
          <w:b/>
        </w:rPr>
        <w:t>Appendix 2.</w:t>
      </w:r>
    </w:p>
    <w:p>
      <w:pPr>
        <w:pStyle w:val="BodyText"/>
        <w:spacing w:lineRule="auto" w:line="240"/>
        <w:rPr>
          <w:b/>
        </w:rPr>
      </w:pPr>
      <w:r>
        <w:rPr/>
        <w:t>Curve shift impact and curve movement for PPP for April 2000.</w:t>
      </w:r>
    </w:p>
    <w:p>
      <w:pPr>
        <w:pStyle w:val="BodyText"/>
        <w:spacing w:lineRule="auto" w:line="240"/>
        <w:rPr>
          <w:b/>
        </w:rPr>
      </w:pPr>
      <w:r>
        <w:rPr>
          <w:b/>
        </w:rPr>
        <w:t>Appendix 3.</w:t>
      </w:r>
    </w:p>
    <w:p>
      <w:pPr>
        <w:pStyle w:val="BodyText"/>
        <w:spacing w:lineRule="auto" w:line="240"/>
        <w:rPr/>
      </w:pPr>
      <w:r>
        <w:rPr/>
        <w:t>Curve shift impact and curve movement for LOLP for April 2000.</w:t>
      </w:r>
    </w:p>
    <w:p>
      <w:pPr>
        <w:pStyle w:val="BodyText"/>
        <w:spacing w:lineRule="auto" w:line="240"/>
        <w:rPr>
          <w:b/>
        </w:rPr>
      </w:pPr>
      <w:r>
        <w:rPr>
          <w:b/>
        </w:rPr>
        <w:t>Appendix 4.</w:t>
      </w:r>
    </w:p>
    <w:p>
      <w:pPr>
        <w:pStyle w:val="BodyText"/>
        <w:spacing w:lineRule="auto" w:line="240"/>
        <w:rPr>
          <w:b/>
        </w:rPr>
      </w:pPr>
      <w:r>
        <w:rPr/>
        <w:t>Curve shift impact and curve movement for SMP for April 2000.</w:t>
      </w:r>
    </w:p>
    <w:p>
      <w:pPr>
        <w:pStyle w:val="BodyText"/>
        <w:spacing w:lineRule="auto" w:line="240"/>
        <w:rPr>
          <w:b/>
        </w:rPr>
      </w:pPr>
      <w:r>
        <w:rPr>
          <w:b/>
        </w:rPr>
        <w:t>Appendix 5.</w:t>
      </w:r>
    </w:p>
    <w:p>
      <w:pPr>
        <w:pStyle w:val="BodyText"/>
        <w:spacing w:lineRule="auto" w:line="240"/>
        <w:rPr/>
      </w:pPr>
      <w:r>
        <w:rPr/>
        <w:t>Delta Volumes as at 28th April 2000.</w:t>
      </w:r>
    </w:p>
    <w:p>
      <w:pPr>
        <w:pStyle w:val="BodyText"/>
        <w:spacing w:lineRule="auto" w:line="240"/>
        <w:rPr>
          <w:b/>
        </w:rPr>
      </w:pPr>
      <w:r>
        <w:rPr>
          <w:b/>
        </w:rPr>
        <w:t>Appendix 6.</w:t>
      </w:r>
    </w:p>
    <w:p>
      <w:pPr>
        <w:pStyle w:val="Normal"/>
        <w:rPr/>
      </w:pPr>
      <w:r>
        <w:rPr/>
        <w:t>P&amp;L analysis split.</w:t>
      </w:r>
    </w:p>
    <w:p>
      <w:pPr>
        <w:pStyle w:val="Normal"/>
        <w:rPr/>
      </w:pPr>
      <w:r>
        <w:rPr/>
      </w:r>
    </w:p>
    <w:p>
      <w:pPr>
        <w:pStyle w:val="BodyText"/>
        <w:spacing w:lineRule="auto" w:line="240"/>
        <w:rPr>
          <w:b/>
        </w:rPr>
      </w:pPr>
      <w:r>
        <w:rPr>
          <w:b/>
        </w:rPr>
        <w:t>Appendix 7.</w:t>
      </w:r>
    </w:p>
    <w:p>
      <w:pPr>
        <w:pStyle w:val="Normal"/>
        <w:rPr/>
      </w:pPr>
      <w:r>
        <w:rPr/>
        <w:t>Peak / Off Peak / Baseload monthly curve shift and P&amp;L analysis.</w:t>
      </w:r>
    </w:p>
    <w:p>
      <w:pPr>
        <w:pStyle w:val="Normal"/>
        <w:rPr/>
      </w:pPr>
      <w:r>
        <w:rPr/>
      </w:r>
    </w:p>
    <w:p>
      <w:pPr>
        <w:pStyle w:val="Normal"/>
        <w:rPr>
          <w:b/>
        </w:rPr>
      </w:pPr>
      <w:r>
        <w:rPr>
          <w:b/>
        </w:rPr>
        <w:t>Appendix 8.</w:t>
      </w:r>
    </w:p>
    <w:p>
      <w:pPr>
        <w:pStyle w:val="Normal"/>
        <w:rPr>
          <w:b/>
        </w:rPr>
      </w:pPr>
      <w:r>
        <w:rPr>
          <w:b/>
        </w:rPr>
      </w:r>
    </w:p>
    <w:p>
      <w:pPr>
        <w:pStyle w:val="Normal"/>
        <w:rPr/>
      </w:pPr>
      <w:r>
        <w:rPr/>
        <w:t>A Graph to show amounts Settled per month and the book Profit for the month.</w:t>
      </w:r>
    </w:p>
    <w:p>
      <w:pPr>
        <w:pStyle w:val="Normal"/>
        <w:rPr/>
      </w:pPr>
      <w:r>
        <w:rPr/>
      </w:r>
    </w:p>
    <w:p>
      <w:pPr>
        <w:pStyle w:val="Normal"/>
        <w:rPr>
          <w:b/>
        </w:rPr>
      </w:pPr>
      <w:r>
        <w:rPr>
          <w:b/>
        </w:rPr>
        <w:t>Appendix 9.</w:t>
      </w:r>
    </w:p>
    <w:p>
      <w:pPr>
        <w:pStyle w:val="Normal"/>
        <w:rPr>
          <w:b/>
        </w:rPr>
      </w:pPr>
      <w:r>
        <w:rPr>
          <w:b/>
        </w:rPr>
      </w:r>
    </w:p>
    <w:p>
      <w:pPr>
        <w:pStyle w:val="Normal"/>
        <w:rPr/>
      </w:pPr>
      <w:r>
        <w:rPr/>
        <w:t>Analysis of forward delta by period</w:t>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tbl>
      <w:tblPr>
        <w:tblW w:w="8974" w:type="dxa"/>
        <w:jc w:val="start"/>
        <w:tblInd w:w="0" w:type="dxa"/>
        <w:tblLayout w:type="fixed"/>
        <w:tblCellMar>
          <w:top w:w="0" w:type="dxa"/>
          <w:start w:w="30" w:type="dxa"/>
          <w:bottom w:w="0" w:type="dxa"/>
          <w:end w:w="30" w:type="dxa"/>
        </w:tblCellMar>
      </w:tblPr>
      <w:tblGrid>
        <w:gridCol w:w="2050"/>
        <w:gridCol w:w="962"/>
        <w:gridCol w:w="1246"/>
        <w:gridCol w:w="962"/>
        <w:gridCol w:w="1010"/>
        <w:gridCol w:w="1498"/>
        <w:gridCol w:w="1246"/>
      </w:tblGrid>
      <w:tr>
        <w:trPr>
          <w:trHeight w:val="307" w:hRule="atLeast"/>
        </w:trPr>
        <w:tc>
          <w:tcPr>
            <w:tcW w:w="2050" w:type="dxa"/>
            <w:tcBorders>
              <w:top w:val="single" w:sz="12" w:space="0" w:color="000000"/>
              <w:start w:val="single" w:sz="12" w:space="0" w:color="000000"/>
              <w:bottom w:val="single" w:sz="6" w:space="0" w:color="000000"/>
            </w:tcBorders>
          </w:tcPr>
          <w:p>
            <w:pPr>
              <w:pStyle w:val="Normal"/>
              <w:snapToGrid w:val="false"/>
              <w:rPr>
                <w:b/>
                <w:color w:val="000000"/>
                <w:sz w:val="22"/>
                <w:lang w:val="en-AU" w:eastAsia="en-US"/>
              </w:rPr>
            </w:pPr>
            <w:r>
              <w:rPr>
                <w:b/>
                <w:color w:val="000000"/>
                <w:sz w:val="22"/>
                <w:lang w:val="en-AU" w:eastAsia="en-US"/>
              </w:rPr>
            </w:r>
          </w:p>
        </w:tc>
        <w:tc>
          <w:tcPr>
            <w:tcW w:w="962" w:type="dxa"/>
            <w:tcBorders>
              <w:top w:val="single" w:sz="12" w:space="0" w:color="000000"/>
              <w:bottom w:val="single" w:sz="6" w:space="0" w:color="000000"/>
            </w:tcBorders>
          </w:tcPr>
          <w:p>
            <w:pPr>
              <w:pStyle w:val="Normal"/>
              <w:snapToGrid w:val="false"/>
              <w:rPr>
                <w:b/>
                <w:color w:val="000000"/>
                <w:sz w:val="22"/>
                <w:lang w:val="en-AU" w:eastAsia="en-US"/>
              </w:rPr>
            </w:pPr>
            <w:r>
              <w:rPr>
                <w:b/>
                <w:color w:val="000000"/>
                <w:sz w:val="22"/>
                <w:lang w:val="en-AU" w:eastAsia="en-US"/>
              </w:rPr>
            </w:r>
          </w:p>
        </w:tc>
        <w:tc>
          <w:tcPr>
            <w:tcW w:w="1246" w:type="dxa"/>
            <w:tcBorders>
              <w:top w:val="single" w:sz="12" w:space="0" w:color="000000"/>
              <w:bottom w:val="single" w:sz="6" w:space="0" w:color="000000"/>
            </w:tcBorders>
          </w:tcPr>
          <w:p>
            <w:pPr>
              <w:pStyle w:val="Normal"/>
              <w:snapToGrid w:val="false"/>
              <w:jc w:val="end"/>
              <w:rPr>
                <w:b/>
                <w:i/>
                <w:i/>
                <w:color w:val="000000"/>
                <w:sz w:val="18"/>
                <w:lang w:val="en-AU" w:eastAsia="en-US"/>
              </w:rPr>
            </w:pPr>
            <w:r>
              <w:rPr>
                <w:b/>
                <w:i/>
                <w:color w:val="000000"/>
                <w:sz w:val="18"/>
                <w:lang w:val="en-AU" w:eastAsia="en-US"/>
              </w:rPr>
            </w:r>
          </w:p>
        </w:tc>
        <w:tc>
          <w:tcPr>
            <w:tcW w:w="962" w:type="dxa"/>
            <w:tcBorders>
              <w:top w:val="single" w:sz="12" w:space="0" w:color="000000"/>
              <w:bottom w:val="single" w:sz="6" w:space="0" w:color="000000"/>
            </w:tcBorders>
          </w:tcPr>
          <w:p>
            <w:pPr>
              <w:pStyle w:val="Normal"/>
              <w:snapToGrid w:val="false"/>
              <w:jc w:val="end"/>
              <w:rPr>
                <w:b/>
                <w:i/>
                <w:i/>
                <w:color w:val="000000"/>
                <w:sz w:val="18"/>
                <w:lang w:val="en-AU" w:eastAsia="en-US"/>
              </w:rPr>
            </w:pPr>
            <w:r>
              <w:rPr>
                <w:b/>
                <w:i/>
                <w:color w:val="000000"/>
                <w:sz w:val="18"/>
                <w:lang w:val="en-AU" w:eastAsia="en-US"/>
              </w:rPr>
            </w:r>
          </w:p>
        </w:tc>
        <w:tc>
          <w:tcPr>
            <w:tcW w:w="1010" w:type="dxa"/>
            <w:tcBorders>
              <w:top w:val="single" w:sz="12" w:space="0" w:color="000000"/>
              <w:bottom w:val="single" w:sz="6" w:space="0" w:color="000000"/>
            </w:tcBorders>
          </w:tcPr>
          <w:p>
            <w:pPr>
              <w:pStyle w:val="Normal"/>
              <w:snapToGrid w:val="false"/>
              <w:jc w:val="end"/>
              <w:rPr>
                <w:b/>
                <w:i/>
                <w:i/>
                <w:color w:val="000000"/>
                <w:sz w:val="18"/>
                <w:lang w:val="en-AU" w:eastAsia="en-US"/>
              </w:rPr>
            </w:pPr>
            <w:r>
              <w:rPr>
                <w:b/>
                <w:i/>
                <w:color w:val="000000"/>
                <w:sz w:val="18"/>
                <w:lang w:val="en-AU" w:eastAsia="en-US"/>
              </w:rPr>
            </w:r>
          </w:p>
        </w:tc>
        <w:tc>
          <w:tcPr>
            <w:tcW w:w="1498" w:type="dxa"/>
            <w:tcBorders>
              <w:top w:val="single" w:sz="12" w:space="0" w:color="000000"/>
              <w:bottom w:val="single" w:sz="6" w:space="0" w:color="000000"/>
            </w:tcBorders>
          </w:tcPr>
          <w:p>
            <w:pPr>
              <w:pStyle w:val="Normal"/>
              <w:snapToGrid w:val="false"/>
              <w:jc w:val="end"/>
              <w:rPr>
                <w:b/>
                <w:i/>
                <w:i/>
                <w:color w:val="000000"/>
                <w:sz w:val="18"/>
                <w:lang w:val="en-AU" w:eastAsia="en-US"/>
              </w:rPr>
            </w:pPr>
            <w:r>
              <w:rPr>
                <w:b/>
                <w:i/>
                <w:color w:val="000000"/>
                <w:sz w:val="18"/>
                <w:lang w:val="en-AU" w:eastAsia="en-US"/>
              </w:rPr>
            </w:r>
          </w:p>
        </w:tc>
        <w:tc>
          <w:tcPr>
            <w:tcW w:w="1246" w:type="dxa"/>
            <w:tcBorders>
              <w:top w:val="single" w:sz="12" w:space="0" w:color="000000"/>
              <w:bottom w:val="single" w:sz="6" w:space="0" w:color="000000"/>
              <w:end w:val="single" w:sz="12" w:space="0" w:color="000000"/>
            </w:tcBorders>
          </w:tcPr>
          <w:p>
            <w:pPr>
              <w:pStyle w:val="Normal"/>
              <w:snapToGrid w:val="false"/>
              <w:jc w:val="center"/>
              <w:rPr>
                <w:b/>
                <w:i/>
                <w:i/>
                <w:color w:val="000000"/>
                <w:sz w:val="18"/>
                <w:lang w:val="en-AU" w:eastAsia="en-US"/>
              </w:rPr>
            </w:pPr>
            <w:r>
              <w:rPr>
                <w:b/>
                <w:i/>
                <w:color w:val="000000"/>
                <w:sz w:val="18"/>
                <w:lang w:val="en-AU" w:eastAsia="en-US"/>
              </w:rPr>
            </w:r>
          </w:p>
        </w:tc>
      </w:tr>
      <w:tr>
        <w:trPr>
          <w:trHeight w:val="262" w:hRule="atLeast"/>
        </w:trPr>
        <w:tc>
          <w:tcPr>
            <w:tcW w:w="2050" w:type="dxa"/>
            <w:tcBorders>
              <w:start w:val="single" w:sz="12" w:space="0" w:color="000000"/>
            </w:tcBorders>
          </w:tcPr>
          <w:p>
            <w:pPr>
              <w:pStyle w:val="Normal"/>
              <w:snapToGrid w:val="false"/>
              <w:rPr>
                <w:b/>
                <w:i/>
                <w:i/>
                <w:color w:val="000000"/>
                <w:sz w:val="18"/>
                <w:lang w:val="en-AU" w:eastAsia="en-US"/>
              </w:rPr>
            </w:pPr>
            <w:r>
              <w:rPr>
                <w:b/>
                <w:i/>
                <w:color w:val="000000"/>
                <w:sz w:val="18"/>
                <w:lang w:val="en-AU" w:eastAsia="en-US"/>
              </w:rPr>
            </w:r>
          </w:p>
        </w:tc>
        <w:tc>
          <w:tcPr>
            <w:tcW w:w="962" w:type="dxa"/>
            <w:tcBorders/>
          </w:tcPr>
          <w:p>
            <w:pPr>
              <w:pStyle w:val="Normal"/>
              <w:snapToGrid w:val="false"/>
              <w:rPr>
                <w:b/>
                <w:color w:val="000000"/>
                <w:lang w:val="en-AU" w:eastAsia="en-US"/>
              </w:rPr>
            </w:pPr>
            <w:r>
              <w:rPr>
                <w:b/>
                <w:color w:val="000000"/>
                <w:lang w:val="en-AU" w:eastAsia="en-US"/>
              </w:rPr>
            </w:r>
          </w:p>
        </w:tc>
        <w:tc>
          <w:tcPr>
            <w:tcW w:w="1246" w:type="dxa"/>
            <w:tcBorders/>
          </w:tcPr>
          <w:p>
            <w:pPr>
              <w:pStyle w:val="Normal"/>
              <w:snapToGrid w:val="false"/>
              <w:jc w:val="end"/>
              <w:rPr>
                <w:b/>
                <w:color w:val="000000"/>
                <w:lang w:val="en-AU" w:eastAsia="en-US"/>
              </w:rPr>
            </w:pPr>
            <w:r>
              <w:rPr>
                <w:b/>
                <w:color w:val="000000"/>
                <w:lang w:val="en-AU" w:eastAsia="en-US"/>
              </w:rPr>
            </w:r>
          </w:p>
        </w:tc>
        <w:tc>
          <w:tcPr>
            <w:tcW w:w="962" w:type="dxa"/>
            <w:tcBorders/>
          </w:tcPr>
          <w:p>
            <w:pPr>
              <w:pStyle w:val="Normal"/>
              <w:snapToGrid w:val="false"/>
              <w:jc w:val="end"/>
              <w:rPr>
                <w:color w:val="000000"/>
                <w:lang w:val="en-AU" w:eastAsia="en-US"/>
              </w:rPr>
            </w:pPr>
            <w:r>
              <w:rPr>
                <w:color w:val="000000"/>
                <w:lang w:val="en-AU" w:eastAsia="en-US"/>
              </w:rPr>
            </w:r>
          </w:p>
        </w:tc>
        <w:tc>
          <w:tcPr>
            <w:tcW w:w="1010" w:type="dxa"/>
            <w:tcBorders/>
          </w:tcPr>
          <w:p>
            <w:pPr>
              <w:pStyle w:val="Normal"/>
              <w:snapToGrid w:val="false"/>
              <w:jc w:val="end"/>
              <w:rPr>
                <w:color w:val="000000"/>
                <w:lang w:val="en-AU" w:eastAsia="en-US"/>
              </w:rPr>
            </w:pPr>
            <w:r>
              <w:rPr>
                <w:color w:val="000000"/>
                <w:lang w:val="en-AU" w:eastAsia="en-US"/>
              </w:rPr>
            </w:r>
          </w:p>
        </w:tc>
        <w:tc>
          <w:tcPr>
            <w:tcW w:w="1498" w:type="dxa"/>
            <w:tcBorders/>
          </w:tcPr>
          <w:p>
            <w:pPr>
              <w:pStyle w:val="Normal"/>
              <w:snapToGrid w:val="false"/>
              <w:jc w:val="end"/>
              <w:rPr>
                <w:color w:val="000000"/>
                <w:lang w:val="en-AU" w:eastAsia="en-US"/>
              </w:rPr>
            </w:pPr>
            <w:r>
              <w:rPr>
                <w:color w:val="000000"/>
                <w:lang w:val="en-AU" w:eastAsia="en-US"/>
              </w:rPr>
            </w:r>
          </w:p>
        </w:tc>
        <w:tc>
          <w:tcPr>
            <w:tcW w:w="1246" w:type="dxa"/>
            <w:tcBorders>
              <w:end w:val="single" w:sz="12" w:space="0" w:color="000000"/>
            </w:tcBorders>
          </w:tcPr>
          <w:p>
            <w:pPr>
              <w:pStyle w:val="Normal"/>
              <w:snapToGrid w:val="false"/>
              <w:jc w:val="end"/>
              <w:rPr>
                <w:color w:val="000000"/>
                <w:lang w:val="en-AU" w:eastAsia="en-US"/>
              </w:rPr>
            </w:pPr>
            <w:r>
              <w:rPr>
                <w:color w:val="000000"/>
                <w:lang w:val="en-AU" w:eastAsia="en-US"/>
              </w:rPr>
            </w:r>
          </w:p>
        </w:tc>
      </w:tr>
      <w:tr>
        <w:trPr>
          <w:trHeight w:val="276" w:hRule="atLeast"/>
        </w:trPr>
        <w:tc>
          <w:tcPr>
            <w:tcW w:w="2050" w:type="dxa"/>
            <w:tcBorders>
              <w:start w:val="single" w:sz="12" w:space="0" w:color="000000"/>
            </w:tcBorders>
          </w:tcPr>
          <w:p>
            <w:pPr>
              <w:pStyle w:val="Normal"/>
              <w:snapToGrid w:val="false"/>
              <w:rPr>
                <w:b/>
                <w:color w:val="000000"/>
                <w:lang w:val="en-AU" w:eastAsia="en-US"/>
              </w:rPr>
            </w:pPr>
            <w:r>
              <w:rPr>
                <w:b/>
                <w:color w:val="000000"/>
                <w:lang w:val="en-AU" w:eastAsia="en-US"/>
              </w:rPr>
            </w:r>
          </w:p>
        </w:tc>
        <w:tc>
          <w:tcPr>
            <w:tcW w:w="962" w:type="dxa"/>
            <w:tcBorders/>
          </w:tcPr>
          <w:p>
            <w:pPr>
              <w:pStyle w:val="Normal"/>
              <w:snapToGrid w:val="false"/>
              <w:rPr>
                <w:b/>
                <w:color w:val="000000"/>
                <w:lang w:val="en-AU" w:eastAsia="en-US"/>
              </w:rPr>
            </w:pPr>
            <w:r>
              <w:rPr>
                <w:b/>
                <w:color w:val="000000"/>
                <w:lang w:val="en-AU" w:eastAsia="en-US"/>
              </w:rPr>
            </w:r>
          </w:p>
        </w:tc>
        <w:tc>
          <w:tcPr>
            <w:tcW w:w="1246" w:type="dxa"/>
            <w:tcBorders/>
          </w:tcPr>
          <w:p>
            <w:pPr>
              <w:pStyle w:val="Normal"/>
              <w:snapToGrid w:val="false"/>
              <w:jc w:val="end"/>
              <w:rPr>
                <w:b/>
                <w:color w:val="000000"/>
                <w:lang w:val="en-AU" w:eastAsia="en-US"/>
              </w:rPr>
            </w:pPr>
            <w:r>
              <w:rPr>
                <w:b/>
                <w:color w:val="000000"/>
                <w:lang w:val="en-AU" w:eastAsia="en-US"/>
              </w:rPr>
            </w:r>
          </w:p>
        </w:tc>
        <w:tc>
          <w:tcPr>
            <w:tcW w:w="962" w:type="dxa"/>
            <w:tcBorders/>
          </w:tcPr>
          <w:p>
            <w:pPr>
              <w:pStyle w:val="Normal"/>
              <w:snapToGrid w:val="false"/>
              <w:jc w:val="end"/>
              <w:rPr>
                <w:color w:val="000000"/>
                <w:lang w:val="en-AU" w:eastAsia="en-US"/>
              </w:rPr>
            </w:pPr>
            <w:r>
              <w:rPr>
                <w:color w:val="000000"/>
                <w:lang w:val="en-AU" w:eastAsia="en-US"/>
              </w:rPr>
            </w:r>
          </w:p>
        </w:tc>
        <w:tc>
          <w:tcPr>
            <w:tcW w:w="1010" w:type="dxa"/>
            <w:tcBorders/>
          </w:tcPr>
          <w:p>
            <w:pPr>
              <w:pStyle w:val="Normal"/>
              <w:snapToGrid w:val="false"/>
              <w:jc w:val="end"/>
              <w:rPr>
                <w:color w:val="000000"/>
                <w:lang w:val="en-AU" w:eastAsia="en-US"/>
              </w:rPr>
            </w:pPr>
            <w:r>
              <w:rPr>
                <w:color w:val="000000"/>
                <w:lang w:val="en-AU" w:eastAsia="en-US"/>
              </w:rPr>
            </w:r>
          </w:p>
        </w:tc>
        <w:tc>
          <w:tcPr>
            <w:tcW w:w="1498" w:type="dxa"/>
            <w:tcBorders/>
          </w:tcPr>
          <w:p>
            <w:pPr>
              <w:pStyle w:val="Normal"/>
              <w:snapToGrid w:val="false"/>
              <w:jc w:val="end"/>
              <w:rPr>
                <w:color w:val="000000"/>
                <w:lang w:val="en-AU" w:eastAsia="en-US"/>
              </w:rPr>
            </w:pPr>
            <w:r>
              <w:rPr>
                <w:color w:val="000000"/>
                <w:lang w:val="en-AU" w:eastAsia="en-US"/>
              </w:rPr>
            </w:r>
          </w:p>
        </w:tc>
        <w:tc>
          <w:tcPr>
            <w:tcW w:w="1246" w:type="dxa"/>
            <w:tcBorders>
              <w:end w:val="single" w:sz="12" w:space="0" w:color="000000"/>
            </w:tcBorders>
          </w:tcPr>
          <w:p>
            <w:pPr>
              <w:pStyle w:val="Normal"/>
              <w:snapToGrid w:val="false"/>
              <w:jc w:val="end"/>
              <w:rPr>
                <w:color w:val="000000"/>
                <w:lang w:val="en-AU" w:eastAsia="en-US"/>
              </w:rPr>
            </w:pPr>
            <w:r>
              <w:rPr>
                <w:color w:val="000000"/>
                <w:lang w:val="en-AU" w:eastAsia="en-US"/>
              </w:rPr>
            </w:r>
          </w:p>
        </w:tc>
      </w:tr>
      <w:tr>
        <w:trPr>
          <w:trHeight w:val="276" w:hRule="atLeast"/>
        </w:trPr>
        <w:tc>
          <w:tcPr>
            <w:tcW w:w="2050" w:type="dxa"/>
            <w:tcBorders>
              <w:top w:val="single" w:sz="12" w:space="0" w:color="000000"/>
              <w:start w:val="single" w:sz="12" w:space="0" w:color="000000"/>
              <w:bottom w:val="single" w:sz="12" w:space="0" w:color="000000"/>
            </w:tcBorders>
          </w:tcPr>
          <w:p>
            <w:pPr>
              <w:pStyle w:val="Normal"/>
              <w:snapToGrid w:val="false"/>
              <w:rPr>
                <w:b/>
                <w:color w:val="000000"/>
                <w:lang w:val="en-AU" w:eastAsia="en-US"/>
              </w:rPr>
            </w:pPr>
            <w:r>
              <w:rPr>
                <w:b/>
                <w:color w:val="000000"/>
                <w:lang w:val="en-AU" w:eastAsia="en-US"/>
              </w:rPr>
            </w:r>
          </w:p>
        </w:tc>
        <w:tc>
          <w:tcPr>
            <w:tcW w:w="962" w:type="dxa"/>
            <w:tcBorders>
              <w:top w:val="single" w:sz="12" w:space="0" w:color="000000"/>
              <w:bottom w:val="single" w:sz="12" w:space="0" w:color="000000"/>
            </w:tcBorders>
          </w:tcPr>
          <w:p>
            <w:pPr>
              <w:pStyle w:val="Normal"/>
              <w:snapToGrid w:val="false"/>
              <w:rPr>
                <w:b/>
                <w:color w:val="000000"/>
                <w:lang w:val="en-AU" w:eastAsia="en-US"/>
              </w:rPr>
            </w:pPr>
            <w:r>
              <w:rPr>
                <w:b/>
                <w:color w:val="000000"/>
                <w:lang w:val="en-AU" w:eastAsia="en-US"/>
              </w:rPr>
            </w:r>
          </w:p>
        </w:tc>
        <w:tc>
          <w:tcPr>
            <w:tcW w:w="1246" w:type="dxa"/>
            <w:tcBorders>
              <w:top w:val="single" w:sz="12" w:space="0" w:color="000000"/>
              <w:bottom w:val="single" w:sz="12" w:space="0" w:color="000000"/>
            </w:tcBorders>
          </w:tcPr>
          <w:p>
            <w:pPr>
              <w:pStyle w:val="Normal"/>
              <w:snapToGrid w:val="false"/>
              <w:jc w:val="end"/>
              <w:rPr>
                <w:b/>
                <w:color w:val="000000"/>
                <w:lang w:val="en-AU" w:eastAsia="en-US"/>
              </w:rPr>
            </w:pPr>
            <w:r>
              <w:rPr>
                <w:b/>
                <w:color w:val="000000"/>
                <w:lang w:val="en-AU" w:eastAsia="en-US"/>
              </w:rPr>
            </w:r>
          </w:p>
        </w:tc>
        <w:tc>
          <w:tcPr>
            <w:tcW w:w="962" w:type="dxa"/>
            <w:tcBorders>
              <w:top w:val="single" w:sz="12" w:space="0" w:color="000000"/>
              <w:bottom w:val="single" w:sz="12" w:space="0" w:color="000000"/>
            </w:tcBorders>
          </w:tcPr>
          <w:p>
            <w:pPr>
              <w:pStyle w:val="Normal"/>
              <w:snapToGrid w:val="false"/>
              <w:jc w:val="end"/>
              <w:rPr>
                <w:color w:val="000000"/>
                <w:lang w:val="en-AU" w:eastAsia="en-US"/>
              </w:rPr>
            </w:pPr>
            <w:r>
              <w:rPr>
                <w:color w:val="000000"/>
                <w:lang w:val="en-AU" w:eastAsia="en-US"/>
              </w:rPr>
            </w:r>
          </w:p>
        </w:tc>
        <w:tc>
          <w:tcPr>
            <w:tcW w:w="1010" w:type="dxa"/>
            <w:tcBorders>
              <w:top w:val="single" w:sz="12" w:space="0" w:color="000000"/>
              <w:bottom w:val="single" w:sz="12" w:space="0" w:color="000000"/>
            </w:tcBorders>
          </w:tcPr>
          <w:p>
            <w:pPr>
              <w:pStyle w:val="Normal"/>
              <w:snapToGrid w:val="false"/>
              <w:jc w:val="end"/>
              <w:rPr>
                <w:color w:val="000000"/>
                <w:lang w:val="en-AU" w:eastAsia="en-US"/>
              </w:rPr>
            </w:pPr>
            <w:r>
              <w:rPr>
                <w:color w:val="000000"/>
                <w:lang w:val="en-AU" w:eastAsia="en-US"/>
              </w:rPr>
            </w:r>
          </w:p>
        </w:tc>
        <w:tc>
          <w:tcPr>
            <w:tcW w:w="1498" w:type="dxa"/>
            <w:tcBorders>
              <w:top w:val="single" w:sz="12" w:space="0" w:color="000000"/>
              <w:bottom w:val="single" w:sz="12" w:space="0" w:color="000000"/>
            </w:tcBorders>
          </w:tcPr>
          <w:p>
            <w:pPr>
              <w:pStyle w:val="Normal"/>
              <w:snapToGrid w:val="false"/>
              <w:jc w:val="end"/>
              <w:rPr>
                <w:color w:val="000000"/>
                <w:lang w:val="en-AU" w:eastAsia="en-US"/>
              </w:rPr>
            </w:pPr>
            <w:r>
              <w:rPr>
                <w:color w:val="000000"/>
                <w:lang w:val="en-AU" w:eastAsia="en-US"/>
              </w:rPr>
            </w:r>
          </w:p>
        </w:tc>
        <w:tc>
          <w:tcPr>
            <w:tcW w:w="1246" w:type="dxa"/>
            <w:tcBorders>
              <w:top w:val="single" w:sz="12" w:space="0" w:color="000000"/>
              <w:bottom w:val="single" w:sz="12" w:space="0" w:color="000000"/>
              <w:end w:val="single" w:sz="12" w:space="0" w:color="000000"/>
            </w:tcBorders>
          </w:tcPr>
          <w:p>
            <w:pPr>
              <w:pStyle w:val="Normal"/>
              <w:snapToGrid w:val="false"/>
              <w:jc w:val="end"/>
              <w:rPr>
                <w:color w:val="000000"/>
                <w:lang w:val="en-AU" w:eastAsia="en-US"/>
              </w:rPr>
            </w:pPr>
            <w:r>
              <w:rPr>
                <w:color w:val="000000"/>
                <w:lang w:val="en-AU" w:eastAsia="en-US"/>
              </w:rPr>
            </w:r>
          </w:p>
        </w:tc>
      </w:tr>
      <w:tr>
        <w:trPr>
          <w:trHeight w:val="262" w:hRule="atLeast"/>
        </w:trPr>
        <w:tc>
          <w:tcPr>
            <w:tcW w:w="2050" w:type="dxa"/>
            <w:tcBorders>
              <w:start w:val="single" w:sz="12" w:space="0" w:color="000000"/>
            </w:tcBorders>
          </w:tcPr>
          <w:p>
            <w:pPr>
              <w:pStyle w:val="Normal"/>
              <w:snapToGrid w:val="false"/>
              <w:rPr>
                <w:b/>
                <w:color w:val="000000"/>
                <w:lang w:val="en-AU" w:eastAsia="en-US"/>
              </w:rPr>
            </w:pPr>
            <w:r>
              <w:rPr>
                <w:b/>
                <w:color w:val="000000"/>
                <w:lang w:val="en-AU" w:eastAsia="en-US"/>
              </w:rPr>
            </w:r>
          </w:p>
        </w:tc>
        <w:tc>
          <w:tcPr>
            <w:tcW w:w="962" w:type="dxa"/>
            <w:tcBorders/>
          </w:tcPr>
          <w:p>
            <w:pPr>
              <w:pStyle w:val="Normal"/>
              <w:snapToGrid w:val="false"/>
              <w:rPr>
                <w:b/>
                <w:color w:val="000000"/>
                <w:lang w:val="en-AU" w:eastAsia="en-US"/>
              </w:rPr>
            </w:pPr>
            <w:r>
              <w:rPr>
                <w:b/>
                <w:color w:val="000000"/>
                <w:lang w:val="en-AU" w:eastAsia="en-US"/>
              </w:rPr>
            </w:r>
          </w:p>
        </w:tc>
        <w:tc>
          <w:tcPr>
            <w:tcW w:w="1246" w:type="dxa"/>
            <w:tcBorders/>
          </w:tcPr>
          <w:p>
            <w:pPr>
              <w:pStyle w:val="Normal"/>
              <w:snapToGrid w:val="false"/>
              <w:jc w:val="end"/>
              <w:rPr>
                <w:b/>
                <w:color w:val="000000"/>
                <w:lang w:val="en-AU" w:eastAsia="en-US"/>
              </w:rPr>
            </w:pPr>
            <w:r>
              <w:rPr>
                <w:b/>
                <w:color w:val="000000"/>
                <w:lang w:val="en-AU" w:eastAsia="en-US"/>
              </w:rPr>
            </w:r>
          </w:p>
        </w:tc>
        <w:tc>
          <w:tcPr>
            <w:tcW w:w="962" w:type="dxa"/>
            <w:tcBorders/>
          </w:tcPr>
          <w:p>
            <w:pPr>
              <w:pStyle w:val="Normal"/>
              <w:snapToGrid w:val="false"/>
              <w:jc w:val="end"/>
              <w:rPr>
                <w:color w:val="000000"/>
                <w:lang w:val="en-AU" w:eastAsia="en-US"/>
              </w:rPr>
            </w:pPr>
            <w:r>
              <w:rPr>
                <w:color w:val="000000"/>
                <w:lang w:val="en-AU" w:eastAsia="en-US"/>
              </w:rPr>
            </w:r>
          </w:p>
        </w:tc>
        <w:tc>
          <w:tcPr>
            <w:tcW w:w="1010" w:type="dxa"/>
            <w:tcBorders/>
          </w:tcPr>
          <w:p>
            <w:pPr>
              <w:pStyle w:val="Normal"/>
              <w:snapToGrid w:val="false"/>
              <w:jc w:val="end"/>
              <w:rPr>
                <w:color w:val="000000"/>
                <w:lang w:val="en-AU" w:eastAsia="en-US"/>
              </w:rPr>
            </w:pPr>
            <w:r>
              <w:rPr>
                <w:color w:val="000000"/>
                <w:lang w:val="en-AU" w:eastAsia="en-US"/>
              </w:rPr>
            </w:r>
          </w:p>
        </w:tc>
        <w:tc>
          <w:tcPr>
            <w:tcW w:w="1498" w:type="dxa"/>
            <w:tcBorders/>
          </w:tcPr>
          <w:p>
            <w:pPr>
              <w:pStyle w:val="Normal"/>
              <w:snapToGrid w:val="false"/>
              <w:jc w:val="end"/>
              <w:rPr>
                <w:color w:val="000000"/>
                <w:lang w:val="en-AU" w:eastAsia="en-US"/>
              </w:rPr>
            </w:pPr>
            <w:r>
              <w:rPr>
                <w:color w:val="000000"/>
                <w:lang w:val="en-AU" w:eastAsia="en-US"/>
              </w:rPr>
            </w:r>
          </w:p>
        </w:tc>
        <w:tc>
          <w:tcPr>
            <w:tcW w:w="1246" w:type="dxa"/>
            <w:tcBorders>
              <w:end w:val="single" w:sz="12" w:space="0" w:color="000000"/>
            </w:tcBorders>
          </w:tcPr>
          <w:p>
            <w:pPr>
              <w:pStyle w:val="Normal"/>
              <w:snapToGrid w:val="false"/>
              <w:jc w:val="end"/>
              <w:rPr>
                <w:color w:val="000000"/>
                <w:lang w:val="en-AU" w:eastAsia="en-US"/>
              </w:rPr>
            </w:pPr>
            <w:r>
              <w:rPr>
                <w:color w:val="000000"/>
                <w:lang w:val="en-AU" w:eastAsia="en-US"/>
              </w:rPr>
            </w:r>
          </w:p>
        </w:tc>
      </w:tr>
      <w:tr>
        <w:trPr>
          <w:trHeight w:val="276" w:hRule="atLeast"/>
        </w:trPr>
        <w:tc>
          <w:tcPr>
            <w:tcW w:w="2050" w:type="dxa"/>
            <w:tcBorders>
              <w:start w:val="single" w:sz="12" w:space="0" w:color="000000"/>
            </w:tcBorders>
          </w:tcPr>
          <w:p>
            <w:pPr>
              <w:pStyle w:val="Normal"/>
              <w:snapToGrid w:val="false"/>
              <w:rPr>
                <w:b/>
                <w:color w:val="000000"/>
                <w:lang w:val="en-AU" w:eastAsia="en-US"/>
              </w:rPr>
            </w:pPr>
            <w:r>
              <w:rPr>
                <w:b/>
                <w:color w:val="000000"/>
                <w:lang w:val="en-AU" w:eastAsia="en-US"/>
              </w:rPr>
            </w:r>
          </w:p>
        </w:tc>
        <w:tc>
          <w:tcPr>
            <w:tcW w:w="962" w:type="dxa"/>
            <w:tcBorders/>
          </w:tcPr>
          <w:p>
            <w:pPr>
              <w:pStyle w:val="Normal"/>
              <w:snapToGrid w:val="false"/>
              <w:rPr>
                <w:b/>
                <w:color w:val="000000"/>
                <w:lang w:val="en-AU" w:eastAsia="en-US"/>
              </w:rPr>
            </w:pPr>
            <w:r>
              <w:rPr>
                <w:b/>
                <w:color w:val="000000"/>
                <w:lang w:val="en-AU" w:eastAsia="en-US"/>
              </w:rPr>
            </w:r>
          </w:p>
        </w:tc>
        <w:tc>
          <w:tcPr>
            <w:tcW w:w="1246" w:type="dxa"/>
            <w:tcBorders/>
          </w:tcPr>
          <w:p>
            <w:pPr>
              <w:pStyle w:val="Normal"/>
              <w:snapToGrid w:val="false"/>
              <w:jc w:val="end"/>
              <w:rPr>
                <w:b/>
                <w:color w:val="000000"/>
                <w:lang w:val="en-AU" w:eastAsia="en-US"/>
              </w:rPr>
            </w:pPr>
            <w:r>
              <w:rPr>
                <w:b/>
                <w:color w:val="000000"/>
                <w:lang w:val="en-AU" w:eastAsia="en-US"/>
              </w:rPr>
            </w:r>
          </w:p>
        </w:tc>
        <w:tc>
          <w:tcPr>
            <w:tcW w:w="962" w:type="dxa"/>
            <w:tcBorders/>
          </w:tcPr>
          <w:p>
            <w:pPr>
              <w:pStyle w:val="Normal"/>
              <w:snapToGrid w:val="false"/>
              <w:jc w:val="end"/>
              <w:rPr>
                <w:color w:val="000000"/>
                <w:lang w:val="en-AU" w:eastAsia="en-US"/>
              </w:rPr>
            </w:pPr>
            <w:r>
              <w:rPr>
                <w:color w:val="000000"/>
                <w:lang w:val="en-AU" w:eastAsia="en-US"/>
              </w:rPr>
            </w:r>
          </w:p>
        </w:tc>
        <w:tc>
          <w:tcPr>
            <w:tcW w:w="1010" w:type="dxa"/>
            <w:tcBorders/>
          </w:tcPr>
          <w:p>
            <w:pPr>
              <w:pStyle w:val="Normal"/>
              <w:snapToGrid w:val="false"/>
              <w:jc w:val="end"/>
              <w:rPr>
                <w:color w:val="000000"/>
                <w:lang w:val="en-AU" w:eastAsia="en-US"/>
              </w:rPr>
            </w:pPr>
            <w:r>
              <w:rPr>
                <w:color w:val="000000"/>
                <w:lang w:val="en-AU" w:eastAsia="en-US"/>
              </w:rPr>
            </w:r>
          </w:p>
        </w:tc>
        <w:tc>
          <w:tcPr>
            <w:tcW w:w="1498" w:type="dxa"/>
            <w:tcBorders/>
          </w:tcPr>
          <w:p>
            <w:pPr>
              <w:pStyle w:val="Normal"/>
              <w:snapToGrid w:val="false"/>
              <w:jc w:val="end"/>
              <w:rPr>
                <w:color w:val="000000"/>
                <w:lang w:val="en-AU" w:eastAsia="en-US"/>
              </w:rPr>
            </w:pPr>
            <w:r>
              <w:rPr>
                <w:color w:val="000000"/>
                <w:lang w:val="en-AU" w:eastAsia="en-US"/>
              </w:rPr>
            </w:r>
          </w:p>
        </w:tc>
        <w:tc>
          <w:tcPr>
            <w:tcW w:w="1246" w:type="dxa"/>
            <w:tcBorders>
              <w:end w:val="single" w:sz="12" w:space="0" w:color="000000"/>
            </w:tcBorders>
          </w:tcPr>
          <w:p>
            <w:pPr>
              <w:pStyle w:val="Normal"/>
              <w:snapToGrid w:val="false"/>
              <w:jc w:val="end"/>
              <w:rPr>
                <w:color w:val="000000"/>
                <w:lang w:val="en-AU" w:eastAsia="en-US"/>
              </w:rPr>
            </w:pPr>
            <w:r>
              <w:rPr>
                <w:color w:val="000000"/>
                <w:lang w:val="en-AU" w:eastAsia="en-US"/>
              </w:rPr>
            </w:r>
          </w:p>
        </w:tc>
      </w:tr>
      <w:tr>
        <w:trPr>
          <w:trHeight w:val="276" w:hRule="atLeast"/>
        </w:trPr>
        <w:tc>
          <w:tcPr>
            <w:tcW w:w="2050" w:type="dxa"/>
            <w:tcBorders>
              <w:top w:val="single" w:sz="12" w:space="0" w:color="000000"/>
              <w:start w:val="single" w:sz="12" w:space="0" w:color="000000"/>
              <w:bottom w:val="single" w:sz="12" w:space="0" w:color="000000"/>
            </w:tcBorders>
          </w:tcPr>
          <w:p>
            <w:pPr>
              <w:pStyle w:val="Normal"/>
              <w:snapToGrid w:val="false"/>
              <w:rPr>
                <w:b/>
                <w:color w:val="000000"/>
                <w:lang w:val="en-AU" w:eastAsia="en-US"/>
              </w:rPr>
            </w:pPr>
            <w:r>
              <w:rPr>
                <w:b/>
                <w:color w:val="000000"/>
                <w:lang w:val="en-AU" w:eastAsia="en-US"/>
              </w:rPr>
            </w:r>
          </w:p>
        </w:tc>
        <w:tc>
          <w:tcPr>
            <w:tcW w:w="962" w:type="dxa"/>
            <w:tcBorders>
              <w:top w:val="single" w:sz="12" w:space="0" w:color="000000"/>
              <w:bottom w:val="single" w:sz="12" w:space="0" w:color="000000"/>
            </w:tcBorders>
          </w:tcPr>
          <w:p>
            <w:pPr>
              <w:pStyle w:val="Normal"/>
              <w:snapToGrid w:val="false"/>
              <w:rPr>
                <w:b/>
                <w:color w:val="000000"/>
                <w:lang w:val="en-AU" w:eastAsia="en-US"/>
              </w:rPr>
            </w:pPr>
            <w:r>
              <w:rPr>
                <w:b/>
                <w:color w:val="000000"/>
                <w:lang w:val="en-AU" w:eastAsia="en-US"/>
              </w:rPr>
            </w:r>
          </w:p>
        </w:tc>
        <w:tc>
          <w:tcPr>
            <w:tcW w:w="1246" w:type="dxa"/>
            <w:tcBorders>
              <w:top w:val="single" w:sz="12" w:space="0" w:color="000000"/>
              <w:bottom w:val="single" w:sz="12" w:space="0" w:color="000000"/>
            </w:tcBorders>
          </w:tcPr>
          <w:p>
            <w:pPr>
              <w:pStyle w:val="Normal"/>
              <w:snapToGrid w:val="false"/>
              <w:jc w:val="end"/>
              <w:rPr>
                <w:b/>
                <w:color w:val="000000"/>
                <w:lang w:val="en-AU" w:eastAsia="en-US"/>
              </w:rPr>
            </w:pPr>
            <w:r>
              <w:rPr>
                <w:b/>
                <w:color w:val="000000"/>
                <w:lang w:val="en-AU" w:eastAsia="en-US"/>
              </w:rPr>
            </w:r>
          </w:p>
        </w:tc>
        <w:tc>
          <w:tcPr>
            <w:tcW w:w="962" w:type="dxa"/>
            <w:tcBorders>
              <w:top w:val="single" w:sz="12" w:space="0" w:color="000000"/>
              <w:bottom w:val="single" w:sz="12" w:space="0" w:color="000000"/>
            </w:tcBorders>
          </w:tcPr>
          <w:p>
            <w:pPr>
              <w:pStyle w:val="Normal"/>
              <w:snapToGrid w:val="false"/>
              <w:jc w:val="end"/>
              <w:rPr>
                <w:color w:val="000000"/>
                <w:lang w:val="en-AU" w:eastAsia="en-US"/>
              </w:rPr>
            </w:pPr>
            <w:r>
              <w:rPr>
                <w:color w:val="000000"/>
                <w:lang w:val="en-AU" w:eastAsia="en-US"/>
              </w:rPr>
            </w:r>
          </w:p>
        </w:tc>
        <w:tc>
          <w:tcPr>
            <w:tcW w:w="1010" w:type="dxa"/>
            <w:tcBorders>
              <w:top w:val="single" w:sz="12" w:space="0" w:color="000000"/>
              <w:bottom w:val="single" w:sz="12" w:space="0" w:color="000000"/>
            </w:tcBorders>
          </w:tcPr>
          <w:p>
            <w:pPr>
              <w:pStyle w:val="Normal"/>
              <w:snapToGrid w:val="false"/>
              <w:jc w:val="end"/>
              <w:rPr>
                <w:color w:val="000000"/>
                <w:lang w:val="en-AU" w:eastAsia="en-US"/>
              </w:rPr>
            </w:pPr>
            <w:r>
              <w:rPr>
                <w:color w:val="000000"/>
                <w:lang w:val="en-AU" w:eastAsia="en-US"/>
              </w:rPr>
            </w:r>
          </w:p>
        </w:tc>
        <w:tc>
          <w:tcPr>
            <w:tcW w:w="1498" w:type="dxa"/>
            <w:tcBorders>
              <w:top w:val="single" w:sz="12" w:space="0" w:color="000000"/>
              <w:bottom w:val="single" w:sz="12" w:space="0" w:color="000000"/>
            </w:tcBorders>
          </w:tcPr>
          <w:p>
            <w:pPr>
              <w:pStyle w:val="Normal"/>
              <w:snapToGrid w:val="false"/>
              <w:jc w:val="end"/>
              <w:rPr>
                <w:color w:val="000000"/>
                <w:lang w:val="en-AU" w:eastAsia="en-US"/>
              </w:rPr>
            </w:pPr>
            <w:r>
              <w:rPr>
                <w:color w:val="000000"/>
                <w:lang w:val="en-AU" w:eastAsia="en-US"/>
              </w:rPr>
            </w:r>
          </w:p>
        </w:tc>
        <w:tc>
          <w:tcPr>
            <w:tcW w:w="1246" w:type="dxa"/>
            <w:tcBorders>
              <w:top w:val="single" w:sz="12" w:space="0" w:color="000000"/>
              <w:bottom w:val="single" w:sz="12" w:space="0" w:color="000000"/>
              <w:end w:val="single" w:sz="12" w:space="0" w:color="000000"/>
            </w:tcBorders>
          </w:tcPr>
          <w:p>
            <w:pPr>
              <w:pStyle w:val="Normal"/>
              <w:snapToGrid w:val="false"/>
              <w:jc w:val="end"/>
              <w:rPr>
                <w:color w:val="000000"/>
                <w:lang w:val="en-AU" w:eastAsia="en-US"/>
              </w:rPr>
            </w:pPr>
            <w:r>
              <w:rPr>
                <w:color w:val="000000"/>
                <w:lang w:val="en-AU" w:eastAsia="en-US"/>
              </w:rPr>
            </w:r>
          </w:p>
        </w:tc>
      </w:tr>
      <w:tr>
        <w:trPr>
          <w:trHeight w:val="262" w:hRule="atLeast"/>
        </w:trPr>
        <w:tc>
          <w:tcPr>
            <w:tcW w:w="2050" w:type="dxa"/>
            <w:tcBorders>
              <w:start w:val="single" w:sz="12" w:space="0" w:color="000000"/>
            </w:tcBorders>
          </w:tcPr>
          <w:p>
            <w:pPr>
              <w:pStyle w:val="Normal"/>
              <w:snapToGrid w:val="false"/>
              <w:rPr>
                <w:b/>
                <w:color w:val="000000"/>
                <w:lang w:val="en-AU" w:eastAsia="en-US"/>
              </w:rPr>
            </w:pPr>
            <w:r>
              <w:rPr>
                <w:b/>
                <w:color w:val="000000"/>
                <w:lang w:val="en-AU" w:eastAsia="en-US"/>
              </w:rPr>
            </w:r>
          </w:p>
        </w:tc>
        <w:tc>
          <w:tcPr>
            <w:tcW w:w="962" w:type="dxa"/>
            <w:tcBorders/>
          </w:tcPr>
          <w:p>
            <w:pPr>
              <w:pStyle w:val="Normal"/>
              <w:snapToGrid w:val="false"/>
              <w:rPr>
                <w:b/>
                <w:color w:val="000000"/>
                <w:lang w:val="en-AU" w:eastAsia="en-US"/>
              </w:rPr>
            </w:pPr>
            <w:r>
              <w:rPr>
                <w:b/>
                <w:color w:val="000000"/>
                <w:lang w:val="en-AU" w:eastAsia="en-US"/>
              </w:rPr>
            </w:r>
          </w:p>
        </w:tc>
        <w:tc>
          <w:tcPr>
            <w:tcW w:w="1246" w:type="dxa"/>
            <w:tcBorders/>
          </w:tcPr>
          <w:p>
            <w:pPr>
              <w:pStyle w:val="Normal"/>
              <w:snapToGrid w:val="false"/>
              <w:jc w:val="end"/>
              <w:rPr>
                <w:b/>
                <w:color w:val="000000"/>
                <w:lang w:val="en-AU" w:eastAsia="en-US"/>
              </w:rPr>
            </w:pPr>
            <w:r>
              <w:rPr>
                <w:b/>
                <w:color w:val="000000"/>
                <w:lang w:val="en-AU" w:eastAsia="en-US"/>
              </w:rPr>
            </w:r>
          </w:p>
        </w:tc>
        <w:tc>
          <w:tcPr>
            <w:tcW w:w="962" w:type="dxa"/>
            <w:tcBorders/>
          </w:tcPr>
          <w:p>
            <w:pPr>
              <w:pStyle w:val="Normal"/>
              <w:snapToGrid w:val="false"/>
              <w:jc w:val="end"/>
              <w:rPr>
                <w:color w:val="000000"/>
                <w:lang w:val="en-AU" w:eastAsia="en-US"/>
              </w:rPr>
            </w:pPr>
            <w:r>
              <w:rPr>
                <w:color w:val="000000"/>
                <w:lang w:val="en-AU" w:eastAsia="en-US"/>
              </w:rPr>
            </w:r>
          </w:p>
        </w:tc>
        <w:tc>
          <w:tcPr>
            <w:tcW w:w="1010" w:type="dxa"/>
            <w:tcBorders/>
          </w:tcPr>
          <w:p>
            <w:pPr>
              <w:pStyle w:val="Normal"/>
              <w:snapToGrid w:val="false"/>
              <w:jc w:val="end"/>
              <w:rPr>
                <w:color w:val="000000"/>
                <w:lang w:val="en-AU" w:eastAsia="en-US"/>
              </w:rPr>
            </w:pPr>
            <w:r>
              <w:rPr>
                <w:color w:val="000000"/>
                <w:lang w:val="en-AU" w:eastAsia="en-US"/>
              </w:rPr>
            </w:r>
          </w:p>
        </w:tc>
        <w:tc>
          <w:tcPr>
            <w:tcW w:w="1498" w:type="dxa"/>
            <w:tcBorders/>
          </w:tcPr>
          <w:p>
            <w:pPr>
              <w:pStyle w:val="Normal"/>
              <w:snapToGrid w:val="false"/>
              <w:jc w:val="end"/>
              <w:rPr>
                <w:color w:val="000000"/>
                <w:lang w:val="en-AU" w:eastAsia="en-US"/>
              </w:rPr>
            </w:pPr>
            <w:r>
              <w:rPr>
                <w:color w:val="000000"/>
                <w:lang w:val="en-AU" w:eastAsia="en-US"/>
              </w:rPr>
            </w:r>
          </w:p>
        </w:tc>
        <w:tc>
          <w:tcPr>
            <w:tcW w:w="1246" w:type="dxa"/>
            <w:tcBorders>
              <w:end w:val="single" w:sz="12" w:space="0" w:color="000000"/>
            </w:tcBorders>
          </w:tcPr>
          <w:p>
            <w:pPr>
              <w:pStyle w:val="Normal"/>
              <w:snapToGrid w:val="false"/>
              <w:jc w:val="end"/>
              <w:rPr>
                <w:color w:val="000000"/>
                <w:lang w:val="en-AU" w:eastAsia="en-US"/>
              </w:rPr>
            </w:pPr>
            <w:r>
              <w:rPr>
                <w:color w:val="000000"/>
                <w:lang w:val="en-AU" w:eastAsia="en-US"/>
              </w:rPr>
            </w:r>
          </w:p>
        </w:tc>
      </w:tr>
      <w:tr>
        <w:trPr>
          <w:trHeight w:val="276" w:hRule="atLeast"/>
        </w:trPr>
        <w:tc>
          <w:tcPr>
            <w:tcW w:w="2050" w:type="dxa"/>
            <w:tcBorders>
              <w:start w:val="single" w:sz="12" w:space="0" w:color="000000"/>
            </w:tcBorders>
          </w:tcPr>
          <w:p>
            <w:pPr>
              <w:pStyle w:val="Normal"/>
              <w:snapToGrid w:val="false"/>
              <w:rPr>
                <w:b/>
                <w:color w:val="000000"/>
                <w:lang w:val="en-AU" w:eastAsia="en-US"/>
              </w:rPr>
            </w:pPr>
            <w:r>
              <w:rPr>
                <w:b/>
                <w:color w:val="000000"/>
                <w:lang w:val="en-AU" w:eastAsia="en-US"/>
              </w:rPr>
            </w:r>
          </w:p>
        </w:tc>
        <w:tc>
          <w:tcPr>
            <w:tcW w:w="962" w:type="dxa"/>
            <w:tcBorders/>
          </w:tcPr>
          <w:p>
            <w:pPr>
              <w:pStyle w:val="Normal"/>
              <w:snapToGrid w:val="false"/>
              <w:rPr>
                <w:b/>
                <w:color w:val="000000"/>
                <w:lang w:val="en-AU" w:eastAsia="en-US"/>
              </w:rPr>
            </w:pPr>
            <w:r>
              <w:rPr>
                <w:b/>
                <w:color w:val="000000"/>
                <w:lang w:val="en-AU" w:eastAsia="en-US"/>
              </w:rPr>
            </w:r>
          </w:p>
        </w:tc>
        <w:tc>
          <w:tcPr>
            <w:tcW w:w="1246" w:type="dxa"/>
            <w:tcBorders/>
          </w:tcPr>
          <w:p>
            <w:pPr>
              <w:pStyle w:val="Normal"/>
              <w:snapToGrid w:val="false"/>
              <w:jc w:val="end"/>
              <w:rPr>
                <w:b/>
                <w:color w:val="000000"/>
                <w:lang w:val="en-AU" w:eastAsia="en-US"/>
              </w:rPr>
            </w:pPr>
            <w:r>
              <w:rPr>
                <w:b/>
                <w:color w:val="000000"/>
                <w:lang w:val="en-AU" w:eastAsia="en-US"/>
              </w:rPr>
            </w:r>
          </w:p>
        </w:tc>
        <w:tc>
          <w:tcPr>
            <w:tcW w:w="962" w:type="dxa"/>
            <w:tcBorders/>
          </w:tcPr>
          <w:p>
            <w:pPr>
              <w:pStyle w:val="Normal"/>
              <w:snapToGrid w:val="false"/>
              <w:jc w:val="end"/>
              <w:rPr>
                <w:color w:val="000000"/>
                <w:lang w:val="en-AU" w:eastAsia="en-US"/>
              </w:rPr>
            </w:pPr>
            <w:r>
              <w:rPr>
                <w:color w:val="000000"/>
                <w:lang w:val="en-AU" w:eastAsia="en-US"/>
              </w:rPr>
            </w:r>
          </w:p>
        </w:tc>
        <w:tc>
          <w:tcPr>
            <w:tcW w:w="1010" w:type="dxa"/>
            <w:tcBorders/>
          </w:tcPr>
          <w:p>
            <w:pPr>
              <w:pStyle w:val="Normal"/>
              <w:snapToGrid w:val="false"/>
              <w:jc w:val="end"/>
              <w:rPr>
                <w:color w:val="000000"/>
                <w:lang w:val="en-AU" w:eastAsia="en-US"/>
              </w:rPr>
            </w:pPr>
            <w:r>
              <w:rPr>
                <w:color w:val="000000"/>
                <w:lang w:val="en-AU" w:eastAsia="en-US"/>
              </w:rPr>
            </w:r>
          </w:p>
        </w:tc>
        <w:tc>
          <w:tcPr>
            <w:tcW w:w="1498" w:type="dxa"/>
            <w:tcBorders/>
          </w:tcPr>
          <w:p>
            <w:pPr>
              <w:pStyle w:val="Normal"/>
              <w:snapToGrid w:val="false"/>
              <w:jc w:val="end"/>
              <w:rPr>
                <w:color w:val="000000"/>
                <w:lang w:val="en-AU" w:eastAsia="en-US"/>
              </w:rPr>
            </w:pPr>
            <w:r>
              <w:rPr>
                <w:color w:val="000000"/>
                <w:lang w:val="en-AU" w:eastAsia="en-US"/>
              </w:rPr>
            </w:r>
          </w:p>
        </w:tc>
        <w:tc>
          <w:tcPr>
            <w:tcW w:w="1246" w:type="dxa"/>
            <w:tcBorders>
              <w:end w:val="single" w:sz="12" w:space="0" w:color="000000"/>
            </w:tcBorders>
          </w:tcPr>
          <w:p>
            <w:pPr>
              <w:pStyle w:val="Normal"/>
              <w:snapToGrid w:val="false"/>
              <w:jc w:val="end"/>
              <w:rPr>
                <w:color w:val="000000"/>
                <w:lang w:val="en-AU" w:eastAsia="en-US"/>
              </w:rPr>
            </w:pPr>
            <w:r>
              <w:rPr>
                <w:color w:val="000000"/>
                <w:lang w:val="en-AU" w:eastAsia="en-US"/>
              </w:rPr>
            </w:r>
          </w:p>
        </w:tc>
      </w:tr>
      <w:tr>
        <w:trPr>
          <w:trHeight w:val="276" w:hRule="atLeast"/>
        </w:trPr>
        <w:tc>
          <w:tcPr>
            <w:tcW w:w="2050" w:type="dxa"/>
            <w:tcBorders>
              <w:top w:val="single" w:sz="12" w:space="0" w:color="000000"/>
              <w:start w:val="single" w:sz="12" w:space="0" w:color="000000"/>
              <w:bottom w:val="single" w:sz="12" w:space="0" w:color="000000"/>
            </w:tcBorders>
          </w:tcPr>
          <w:p>
            <w:pPr>
              <w:pStyle w:val="Normal"/>
              <w:snapToGrid w:val="false"/>
              <w:rPr>
                <w:b/>
                <w:color w:val="000000"/>
                <w:lang w:val="en-AU" w:eastAsia="en-US"/>
              </w:rPr>
            </w:pPr>
            <w:r>
              <w:rPr>
                <w:b/>
                <w:color w:val="000000"/>
                <w:lang w:val="en-AU" w:eastAsia="en-US"/>
              </w:rPr>
            </w:r>
          </w:p>
        </w:tc>
        <w:tc>
          <w:tcPr>
            <w:tcW w:w="962" w:type="dxa"/>
            <w:tcBorders>
              <w:top w:val="single" w:sz="12" w:space="0" w:color="000000"/>
              <w:bottom w:val="single" w:sz="12" w:space="0" w:color="000000"/>
            </w:tcBorders>
          </w:tcPr>
          <w:p>
            <w:pPr>
              <w:pStyle w:val="Normal"/>
              <w:snapToGrid w:val="false"/>
              <w:rPr>
                <w:b/>
                <w:color w:val="000000"/>
                <w:lang w:val="en-AU" w:eastAsia="en-US"/>
              </w:rPr>
            </w:pPr>
            <w:r>
              <w:rPr>
                <w:b/>
                <w:color w:val="000000"/>
                <w:lang w:val="en-AU" w:eastAsia="en-US"/>
              </w:rPr>
            </w:r>
          </w:p>
        </w:tc>
        <w:tc>
          <w:tcPr>
            <w:tcW w:w="1246" w:type="dxa"/>
            <w:tcBorders>
              <w:top w:val="single" w:sz="12" w:space="0" w:color="000000"/>
              <w:bottom w:val="single" w:sz="12" w:space="0" w:color="000000"/>
            </w:tcBorders>
          </w:tcPr>
          <w:p>
            <w:pPr>
              <w:pStyle w:val="Normal"/>
              <w:snapToGrid w:val="false"/>
              <w:jc w:val="end"/>
              <w:rPr>
                <w:b/>
                <w:color w:val="000000"/>
                <w:lang w:val="en-AU" w:eastAsia="en-US"/>
              </w:rPr>
            </w:pPr>
            <w:r>
              <w:rPr>
                <w:b/>
                <w:color w:val="000000"/>
                <w:lang w:val="en-AU" w:eastAsia="en-US"/>
              </w:rPr>
            </w:r>
          </w:p>
        </w:tc>
        <w:tc>
          <w:tcPr>
            <w:tcW w:w="962" w:type="dxa"/>
            <w:tcBorders>
              <w:top w:val="single" w:sz="12" w:space="0" w:color="000000"/>
              <w:bottom w:val="single" w:sz="12" w:space="0" w:color="000000"/>
            </w:tcBorders>
          </w:tcPr>
          <w:p>
            <w:pPr>
              <w:pStyle w:val="Normal"/>
              <w:snapToGrid w:val="false"/>
              <w:jc w:val="end"/>
              <w:rPr>
                <w:color w:val="000000"/>
                <w:lang w:val="en-AU" w:eastAsia="en-US"/>
              </w:rPr>
            </w:pPr>
            <w:r>
              <w:rPr>
                <w:color w:val="000000"/>
                <w:lang w:val="en-AU" w:eastAsia="en-US"/>
              </w:rPr>
            </w:r>
          </w:p>
        </w:tc>
        <w:tc>
          <w:tcPr>
            <w:tcW w:w="1010" w:type="dxa"/>
            <w:tcBorders>
              <w:top w:val="single" w:sz="12" w:space="0" w:color="000000"/>
              <w:bottom w:val="single" w:sz="12" w:space="0" w:color="000000"/>
            </w:tcBorders>
          </w:tcPr>
          <w:p>
            <w:pPr>
              <w:pStyle w:val="Normal"/>
              <w:snapToGrid w:val="false"/>
              <w:jc w:val="end"/>
              <w:rPr>
                <w:color w:val="000000"/>
                <w:lang w:val="en-AU" w:eastAsia="en-US"/>
              </w:rPr>
            </w:pPr>
            <w:r>
              <w:rPr>
                <w:color w:val="000000"/>
                <w:lang w:val="en-AU" w:eastAsia="en-US"/>
              </w:rPr>
            </w:r>
          </w:p>
        </w:tc>
        <w:tc>
          <w:tcPr>
            <w:tcW w:w="1498" w:type="dxa"/>
            <w:tcBorders>
              <w:top w:val="single" w:sz="12" w:space="0" w:color="000000"/>
              <w:bottom w:val="single" w:sz="12" w:space="0" w:color="000000"/>
            </w:tcBorders>
          </w:tcPr>
          <w:p>
            <w:pPr>
              <w:pStyle w:val="Normal"/>
              <w:snapToGrid w:val="false"/>
              <w:jc w:val="end"/>
              <w:rPr>
                <w:color w:val="000000"/>
                <w:lang w:val="en-AU" w:eastAsia="en-US"/>
              </w:rPr>
            </w:pPr>
            <w:r>
              <w:rPr>
                <w:color w:val="000000"/>
                <w:lang w:val="en-AU" w:eastAsia="en-US"/>
              </w:rPr>
            </w:r>
          </w:p>
        </w:tc>
        <w:tc>
          <w:tcPr>
            <w:tcW w:w="1246" w:type="dxa"/>
            <w:tcBorders>
              <w:top w:val="single" w:sz="12" w:space="0" w:color="000000"/>
              <w:bottom w:val="single" w:sz="12" w:space="0" w:color="000000"/>
              <w:end w:val="single" w:sz="12" w:space="0" w:color="000000"/>
            </w:tcBorders>
          </w:tcPr>
          <w:p>
            <w:pPr>
              <w:pStyle w:val="Normal"/>
              <w:snapToGrid w:val="false"/>
              <w:jc w:val="end"/>
              <w:rPr>
                <w:color w:val="000000"/>
                <w:lang w:val="en-AU" w:eastAsia="en-US"/>
              </w:rPr>
            </w:pPr>
            <w:r>
              <w:rPr>
                <w:color w:val="000000"/>
                <w:lang w:val="en-AU" w:eastAsia="en-US"/>
              </w:rPr>
            </w:r>
          </w:p>
        </w:tc>
      </w:tr>
    </w:tbl>
    <w:p>
      <w:pPr>
        <w:pStyle w:val="BodyText"/>
        <w:spacing w:lineRule="auto" w:line="240" w:before="0" w:after="220"/>
        <w:rPr/>
      </w:pPr>
      <w:r>
        <w:rPr/>
      </w:r>
    </w:p>
    <w:sectPr>
      <w:headerReference w:type="default" r:id="rId8"/>
      <w:footerReference w:type="default" r:id="rId9"/>
      <w:type w:val="nextPage"/>
      <w:pgSz w:w="11906" w:h="16838"/>
      <w:pgMar w:left="1797" w:right="1797" w:gutter="0" w:header="720" w:top="168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tab/>
      <w:t>Interoffice Memo</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283"/>
        </w:tabs>
        <w:ind w:start="1003" w:hanging="283"/>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108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GB" w:eastAsia="zh-CN" w:bidi="hi-IN"/>
    </w:rPr>
  </w:style>
  <w:style w:type="paragraph" w:styleId="Heading1">
    <w:name w:val="heading 1"/>
    <w:basedOn w:val="HeadingBase"/>
    <w:next w:val="BodyText"/>
    <w:qFormat/>
    <w:pPr>
      <w:numPr>
        <w:ilvl w:val="0"/>
        <w:numId w:val="1"/>
      </w:numPr>
      <w:spacing w:lineRule="atLeast" w:line="200" w:before="0" w:after="220"/>
      <w:outlineLvl w:val="0"/>
    </w:pPr>
    <w:rPr>
      <w:sz w:val="22"/>
    </w:rPr>
  </w:style>
  <w:style w:type="paragraph" w:styleId="Heading2">
    <w:name w:val="heading 2"/>
    <w:basedOn w:val="HeadingBase"/>
    <w:next w:val="BodyText"/>
    <w:qFormat/>
    <w:pPr>
      <w:numPr>
        <w:ilvl w:val="1"/>
        <w:numId w:val="1"/>
      </w:numPr>
      <w:spacing w:lineRule="atLeast" w:line="200"/>
      <w:outlineLvl w:val="1"/>
    </w:pPr>
    <w:rPr/>
  </w:style>
  <w:style w:type="paragraph" w:styleId="Heading3">
    <w:name w:val="heading 3"/>
    <w:basedOn w:val="HeadingBase"/>
    <w:next w:val="BodyText"/>
    <w:qFormat/>
    <w:pPr>
      <w:numPr>
        <w:ilvl w:val="2"/>
        <w:numId w:val="1"/>
      </w:numPr>
      <w:ind w:hanging="0" w:start="360" w:end="0"/>
      <w:outlineLvl w:val="2"/>
    </w:pPr>
    <w:rPr>
      <w:spacing w:val="-5"/>
    </w:rPr>
  </w:style>
  <w:style w:type="paragraph" w:styleId="Heading4">
    <w:name w:val="heading 4"/>
    <w:basedOn w:val="HeadingBase"/>
    <w:next w:val="BodyText"/>
    <w:qFormat/>
    <w:pPr>
      <w:numPr>
        <w:ilvl w:val="3"/>
        <w:numId w:val="1"/>
      </w:numPr>
      <w:ind w:hanging="0" w:start="720" w:end="0"/>
      <w:outlineLvl w:val="3"/>
    </w:pPr>
    <w:rPr>
      <w:spacing w:val="-2"/>
      <w:sz w:val="18"/>
    </w:rPr>
  </w:style>
  <w:style w:type="paragraph" w:styleId="Heading5">
    <w:name w:val="heading 5"/>
    <w:basedOn w:val="HeadingBase"/>
    <w:next w:val="BodyText"/>
    <w:qFormat/>
    <w:pPr>
      <w:numPr>
        <w:ilvl w:val="4"/>
        <w:numId w:val="1"/>
      </w:numPr>
      <w:ind w:hanging="0" w:start="1080" w:end="0"/>
      <w:outlineLvl w:val="4"/>
    </w:pPr>
    <w:rPr>
      <w:spacing w:val="-2"/>
      <w:sz w:val="18"/>
    </w:rPr>
  </w:style>
  <w:style w:type="paragraph" w:styleId="Heading6">
    <w:name w:val="heading 6"/>
    <w:basedOn w:val="HeadingBase"/>
    <w:next w:val="BodyText"/>
    <w:qFormat/>
    <w:pPr>
      <w:numPr>
        <w:ilvl w:val="5"/>
        <w:numId w:val="1"/>
      </w:numPr>
      <w:ind w:hanging="0" w:start="1440" w:end="0"/>
      <w:outlineLvl w:val="5"/>
    </w:pPr>
    <w:rPr>
      <w:spacing w:val="-4"/>
      <w:sz w:val="18"/>
    </w:rPr>
  </w:style>
  <w:style w:type="paragraph" w:styleId="Heading7">
    <w:name w:val="heading 7"/>
    <w:basedOn w:val="HeadingBase"/>
    <w:next w:val="BodyText"/>
    <w:qFormat/>
    <w:pPr>
      <w:numPr>
        <w:ilvl w:val="6"/>
        <w:numId w:val="1"/>
      </w:numPr>
      <w:ind w:hanging="0" w:start="1800" w:end="0"/>
      <w:outlineLvl w:val="6"/>
    </w:pPr>
    <w:rPr>
      <w:spacing w:val="-4"/>
      <w:sz w:val="18"/>
    </w:rPr>
  </w:style>
  <w:style w:type="paragraph" w:styleId="Heading8">
    <w:name w:val="heading 8"/>
    <w:basedOn w:val="HeadingBase"/>
    <w:next w:val="BodyText"/>
    <w:qFormat/>
    <w:pPr>
      <w:numPr>
        <w:ilvl w:val="7"/>
        <w:numId w:val="1"/>
      </w:numPr>
      <w:ind w:hanging="0" w:start="2160" w:end="0"/>
      <w:outlineLvl w:val="7"/>
    </w:pPr>
    <w:rPr>
      <w:spacing w:val="-4"/>
      <w:sz w:val="18"/>
    </w:rPr>
  </w:style>
  <w:style w:type="paragraph" w:styleId="Heading9">
    <w:name w:val="heading 9"/>
    <w:basedOn w:val="HeadingBase"/>
    <w:next w:val="BodyText"/>
    <w:qFormat/>
    <w:pPr>
      <w:numPr>
        <w:ilvl w:val="8"/>
        <w:numId w:val="1"/>
      </w:numPr>
      <w:ind w:hanging="0" w:start="2520" w:end="0"/>
      <w:outlineLvl w:val="8"/>
    </w:pPr>
    <w:rPr>
      <w:spacing w:val="-4"/>
      <w:sz w:val="18"/>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z w:val="18"/>
    </w:rPr>
  </w:style>
  <w:style w:type="character" w:styleId="LineNumber">
    <w:name w:val="line number"/>
    <w:basedOn w:val="DefaultParagraphFont"/>
    <w:rPr>
      <w:sz w:val="18"/>
    </w:rPr>
  </w:style>
  <w:style w:type="character" w:styleId="PageNumber">
    <w:name w:val="page number"/>
    <w:basedOn w:val="DefaultParagraphFont"/>
    <w:rPr>
      <w:sz w:val="18"/>
    </w:rPr>
  </w:style>
  <w:style w:type="character" w:styleId="Superscript">
    <w:name w:val="Superscript"/>
    <w:qFormat/>
    <w:rPr>
      <w:vertAlign w:val="superscript"/>
    </w:rPr>
  </w:style>
  <w:style w:type="character" w:styleId="MessageHeaderLabel">
    <w:name w:val="Message Header Label"/>
    <w:qFormat/>
    <w:rPr>
      <w:rFonts w:ascii="Arial Black" w:hAnsi="Arial Black" w:cs="Arial Black"/>
      <w:spacing w:val="-10"/>
      <w:sz w:val="18"/>
    </w:rPr>
  </w:style>
  <w:style w:type="character" w:styleId="Emphasis">
    <w:name w:val="Emphasis"/>
    <w:qFormat/>
    <w:rPr>
      <w:rFonts w:ascii="Arial Black" w:hAnsi="Arial Black" w:cs="Arial Black"/>
      <w:sz w:val="18"/>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BlockQuotation">
    <w:name w:val="Block Quotation"/>
    <w:basedOn w:val="BodyText"/>
    <w:qFormat/>
    <w:pPr>
      <w:keepLines/>
      <w:ind w:hanging="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MessageHeaderFirst">
    <w:name w:val="Message Header First"/>
    <w:basedOn w:val="MessageHeader"/>
    <w:next w:val="MessageHeader"/>
    <w:qFormat/>
    <w:pPr>
      <w:spacing w:before="220" w:after="120"/>
    </w:pPr>
    <w:rPr/>
  </w:style>
  <w:style w:type="paragraph" w:styleId="EndnoteText">
    <w:name w:val="endnote text"/>
    <w:basedOn w:val="FootnoteBase"/>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FootnoteText">
    <w:name w:val="footnote text"/>
    <w:basedOn w:val="FootnoteBase"/>
    <w:pPr/>
    <w:rPr/>
  </w:style>
  <w:style w:type="paragraph" w:styleId="Header">
    <w:name w:val="header"/>
    <w:basedOn w:val="HeaderBase"/>
    <w:pPr>
      <w:spacing w:before="0" w:after="600"/>
    </w:pPr>
    <w:rPr/>
  </w:style>
  <w:style w:type="paragraph" w:styleId="ListBullet">
    <w:name w:val="List Bullet"/>
    <w:basedOn w:val="List"/>
    <w:qFormat/>
    <w:pPr>
      <w:numPr>
        <w:ilvl w:val="0"/>
        <w:numId w:val="7"/>
      </w:numPr>
      <w:ind w:hanging="360" w:start="720" w:end="720"/>
    </w:pPr>
    <w:rPr/>
  </w:style>
  <w:style w:type="paragraph" w:styleId="ListNumber">
    <w:name w:val="List Number"/>
    <w:basedOn w:val="List"/>
    <w:qFormat/>
    <w:pPr>
      <w:numPr>
        <w:ilvl w:val="0"/>
        <w:numId w:val="8"/>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numPr>
        <w:ilvl w:val="0"/>
        <w:numId w:val="9"/>
      </w:num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numPr>
        <w:ilvl w:val="0"/>
        <w:numId w:val="10"/>
      </w:numPr>
      <w:ind w:hanging="360" w:start="1080" w:end="720"/>
    </w:pPr>
    <w:rPr/>
  </w:style>
  <w:style w:type="paragraph" w:styleId="ListNumber3">
    <w:name w:val="List Number 3"/>
    <w:basedOn w:val="ListNumber"/>
    <w:qFormat/>
    <w:pPr>
      <w:numPr>
        <w:ilvl w:val="0"/>
        <w:numId w:val="11"/>
      </w:num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qFormat/>
    <w:pPr>
      <w:keepNext w:val="true"/>
      <w:spacing w:lineRule="atLeast" w:line="220"/>
    </w:pPr>
    <w:rPr/>
  </w:style>
  <w:style w:type="paragraph" w:styleId="CommentText">
    <w:name w:val="Comment Text"/>
    <w:basedOn w:val="FootnoteBase"/>
    <w:qFormat/>
    <w:pPr/>
    <w:rPr/>
  </w:style>
  <w:style w:type="paragraph" w:styleId="BodyText2">
    <w:name w:val="Body Text 2"/>
    <w:basedOn w:val="BodyText"/>
    <w:qFormat/>
    <w:pPr>
      <w:ind w:hanging="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ReturnAddress">
    <w:name w:val="Return Address"/>
    <w:basedOn w:val="Normal"/>
    <w:qFormat/>
    <w:pPr>
      <w:keepLines/>
      <w:tabs>
        <w:tab w:val="clear" w:pos="720"/>
        <w:tab w:val="left" w:pos="2640" w:leader="none"/>
      </w:tabs>
      <w:spacing w:lineRule="atLeast" w:line="200"/>
    </w:pPr>
    <w:rPr>
      <w:spacing w:val="-2"/>
      <w:sz w:val="16"/>
    </w:rPr>
  </w:style>
  <w:style w:type="paragraph" w:styleId="CompanyName">
    <w:name w:val="Company Name"/>
    <w:basedOn w:val="ReturnAddress"/>
    <w:qFormat/>
    <w:pPr>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Enclosure">
    <w:name w:val="Enclosure"/>
    <w:basedOn w:val="BodyText"/>
    <w:next w:val="Normal"/>
    <w:qFormat/>
    <w:pPr>
      <w:keepLines/>
      <w:spacing w:before="220" w:after="220"/>
      <w:jc w:val="start"/>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ListNumber4">
    <w:name w:val="List Number 4"/>
    <w:basedOn w:val="ListNumber"/>
    <w:qFormat/>
    <w:pPr>
      <w:numPr>
        <w:ilvl w:val="0"/>
        <w:numId w:val="12"/>
      </w:num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Body">
    <w:name w:val="Body"/>
    <w:basedOn w:val="Normal"/>
    <w:qFormat/>
    <w:pPr>
      <w:ind w:hanging="0" w:start="72" w:end="0"/>
    </w:pPr>
    <w:rPr>
      <w:color w:val="000080"/>
      <w:spacing w:val="0"/>
      <w:lang w:val="en-US"/>
    </w:rPr>
  </w:style>
  <w:style w:type="paragraph" w:styleId="BodyText3">
    <w:name w:val="Body Text 3"/>
    <w:basedOn w:val="Normal"/>
    <w:qFormat/>
    <w:pPr/>
    <w:rPr>
      <w:rFonts w:ascii="Times New Roman" w:hAnsi="Times New Roman" w:cs="Times New Roman"/>
      <w:color w:val="00008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2000-05-10T18:46:00Z</dcterms:created>
  <dc:creator>Unknown</dc:creator>
  <dc:description/>
  <dc:language>en-CA</dc:language>
  <cp:lastModifiedBy>JNew</cp:lastModifiedBy>
  <cp:lastPrinted>2000-05-05T12:34:00Z</cp:lastPrinted>
  <dcterms:modified xsi:type="dcterms:W3CDTF">2000-05-11T10:19:00Z</dcterms:modified>
  <cp:revision>3</cp:revision>
  <dc:subject/>
  <dc:title>Helps you design a customized memo</dc:title>
</cp:coreProperties>
</file>