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rPr>
        <w:t>P</w:t>
      </w:r>
      <w:r>
        <w:rPr>
          <w:rFonts w:cs="Times New Roman" w:ascii="Times New Roman" w:hAnsi="Times New Roman"/>
          <w:b/>
          <w:sz w:val="28"/>
        </w:rPr>
        <w:t>otential Benefits of Using</w:t>
      </w:r>
    </w:p>
    <w:p>
      <w:pPr>
        <w:pStyle w:val="Normal"/>
        <w:jc w:val="center"/>
        <w:rPr>
          <w:rFonts w:ascii="Times New Roman" w:hAnsi="Times New Roman" w:cs="Times New Roman"/>
          <w:b/>
          <w:sz w:val="28"/>
        </w:rPr>
      </w:pPr>
      <w:r>
        <w:rPr>
          <w:rFonts w:cs="Times New Roman" w:ascii="Times New Roman" w:hAnsi="Times New Roman"/>
          <w:b/>
          <w:sz w:val="28"/>
        </w:rPr>
        <w:t>Alternative Dispute Resolution</w:t>
      </w:r>
    </w:p>
    <w:p>
      <w:pPr>
        <w:pStyle w:val="Normal"/>
        <w:jc w:val="center"/>
        <w:rPr>
          <w:rFonts w:ascii="Times New Roman" w:hAnsi="Times New Roman" w:cs="Times New Roman"/>
          <w:sz w:val="28"/>
        </w:rPr>
      </w:pPr>
      <w:r>
        <w:rPr>
          <w:rFonts w:cs="Times New Roman" w:ascii="Times New Roman" w:hAnsi="Times New Roman"/>
          <w:b/>
          <w:sz w:val="28"/>
        </w:rPr>
        <w:t>for WSCC Issues</w:t>
      </w:r>
    </w:p>
    <w:p>
      <w:pPr>
        <w:pStyle w:val="Normal"/>
        <w:rPr>
          <w:rFonts w:ascii="Times New Roman" w:hAnsi="Times New Roman" w:cs="Times New Roman"/>
          <w:sz w:val="28"/>
        </w:rPr>
      </w:pPr>
      <w:r>
        <w:rPr>
          <w:rFonts w:cs="Times New Roman" w:ascii="Times New Roman" w:hAnsi="Times New Roman"/>
          <w:sz w:val="28"/>
        </w:rPr>
      </w:r>
    </w:p>
    <w:p>
      <w:pPr>
        <w:pStyle w:val="Normal"/>
        <w:jc w:val="both"/>
        <w:rPr>
          <w:rFonts w:ascii="Times New Roman" w:hAnsi="Times New Roman" w:cs="Times New Roman"/>
        </w:rPr>
      </w:pPr>
      <w:r>
        <w:rPr>
          <w:rFonts w:cs="Times New Roman" w:ascii="Times New Roman" w:hAnsi="Times New Roman"/>
        </w:rPr>
        <w:tab/>
        <w:t xml:space="preserve">As the role of the WSCC and the issues it seeks to address expand, the need for quick, neutral resolution of disputed matters becomes more pressing.  Allowing conflicts to escalate to litigation or regulatory action delays resolution, increases expenses, and can yield outcomes that do not fully serve any of the participants’ interests.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Leaving disputes to be decided by members of the WSCC’s committees, task forces, work groups, policy groups, or Board of Trustees may carry significant practical and legal risks as well.  Because any member of the WSCC may be a potential or actual competitor of virtually any other member, apparent or actual conflicts of interest for member representatives rendering decisions become harder to avoid.  Moreover, if competitors act in concert to the detriment of other competitors or in a manner that allocates markets, liability under antitrust laws could result.  From the perspectives of organizational efficiency and antitrust compliance, having a neutral decision-maker to resolve disputes is preferable.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It is also important to note that the RTA dispute resolution processes, when used, have proven very effective.  These processes, however, are designed to address only transmission access issues.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For these reasons, it may be in the best interests of the WSCC, its members, and the individuals who serve on its committees, task forces, work groups, policy groups, and Board of Trustees, to adopt alternative dispute resolution (“ADR”) procedures for reliability-related disputes within the WSCC.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ADR enables participants to use a neutral party to resolve disputes and still avoid the delay, expense, and adversarial outcomes associated with litigation.  According to a publication of the CPR Institute for Dispute Resolution, a New York-based nonprofit organization, the most commonly cited advantages of ADR are:</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Substantial savings in legal fees and other litigation expenses and in the time and energy of executives;</w:t>
      </w:r>
    </w:p>
    <w:p>
      <w:pPr>
        <w:pStyle w:val="Normal"/>
        <w:ind w:start="720" w:end="0"/>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Promptness and speed of resolution;</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Creative, business-driven “win-win” solutions not available in a court of law;</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Solutions based on parties’ real interests, not just legal positions;</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Preservation of business relationships; and</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jc w:val="both"/>
        <w:rPr>
          <w:rFonts w:ascii="Times New Roman" w:hAnsi="Times New Roman" w:cs="Times New Roman"/>
        </w:rPr>
      </w:pPr>
      <w:r>
        <w:rPr>
          <w:rFonts w:cs="Times New Roman" w:ascii="Times New Roman" w:hAnsi="Times New Roman"/>
        </w:rPr>
        <w:t>Opportunity to maintain privacy and confidentiality.</w:t>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Disputes within the WSCC may involve highly technical issues.  Because issues relating to transmission system operations can be both urgent and dynamic, the need for rapid resolution of disputes in this area may be especially great.  Furthermore, disputes over reliability issues may not fit neatly into the pre-defined legal categories that confer rights to judicial relief.</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Through ADR, disputing parties within the WSCC can have their disputes resolved by a neutral facilitator or arbitrator who is an expert in matters relating to transmission operations and reliability.  There is no need for parties to formulate legally recognized “causes of action” to express their grievances.  Parties using ADR also are not limited to remedies that courts can order, such as monetary damages or injunctive relief.  Instead, the parties retain the flexibility to devise solutions that most effectively address their underlying interests.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To bring an action before a court or administrative agency, parties must make formal filings and conform their actions to a schedule dictated by the judge or other decision-maker.  Litigants may experience long delays before they can argue their cases, and in the meantime may endure intrusive, time-consuming, and expensive discovery procedures.  Court filings and proceedings are usually public and outcomes are generally precedential in subsequent proceedings.  These dynamics can limit parties’ opportunities to seek resolution cooperatively.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If ADR provisions are designed to foster fair, inexpensive, quick resolutions to specified categories of disputes, some parties who are reluctant to commit themselves to ADR may be reassured.  For example, some parties may feel that binding arbitration with elaborate procedural rules and substantial damages claims might be nearly as burdensome as litigation, but without rights to appeal from what they perceive as risks of unreasonable outcomes.  Parties with these concerns may be uncomfortable waiving rights to legal remedies they otherwise would have.  On the other hand, some parties may be reluctant to commit themselves to non-binding ADR because they fear that if the opposing party is dissatisfied with the ADR-developed resolution, they could face the burden and expense of litigation in addition to having gone through ADR.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proposed WSCC ADR procedures have been designed to be responsive to the critical issues and concerns expressed by members and also to provide for an effective ADR mechanism.  Clearly defined procedures and timelines have been developed to reduce uncertainty.  The obligation to enter into binding arbitration has been limited to a very small subset of issues.  Limited appeal rights will provide protection against arbitrary outcomes without allowing ADR to become an extra step that precedes inevitable litigation.  In the case of appeals from arbitration, the appeals process has been set up so that the arbitrator’s decision can be reviewed for unfairness, but in most cases solely on the basis of the evidence assembled during arbitration.  In this way, disputing parties receive the benefit of industry expertise in creating a record and avoid the expense of repeating evidentiary production.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ADR at its best elicits buy-in from all disputing parties because it yields a quick (and often negotiated) resolution through a fair and predictable process conducted by skilled neutrals whom all the parties trust.  By seeking to develop an ADR process tailored to the needs of its members and its corporate purposes, the proposed WSCC ADR process attempts to balance members’ desires for quick, inexpensive, and workable resolutions against concerns about sacrificing traditional legal remedies.  At the same time, the ADR procedures will allow WSCC stakeholders to avoid the precarious role of making case-by-case decisions about matters that may have serious economic, legal, and operational consequences for competing industry members.</w:t>
      </w:r>
    </w:p>
    <w:sectPr>
      <w:footerReference w:type="default" r:id="rId2"/>
      <w:type w:val="nextPage"/>
      <w:pgSz w:w="12240" w:h="15840"/>
      <w:pgMar w:left="1440" w:right="1440" w:gutter="0" w:header="0" w:top="1440" w:footer="60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20"/>
      </w:rPr>
    </w:pPr>
    <w:r>
      <w:rPr>
        <w:rFonts w:cs="Times New Roman" w:ascii="Times New Roman" w:hAnsi="Times New Roman"/>
        <w:b/>
        <w:sz w:val="20"/>
      </w:rPr>
      <w:t>White Paper – Potential Benefits ADR for WSCC Issues</w:t>
    </w:r>
  </w:p>
  <w:p>
    <w:pPr>
      <w:pStyle w:val="Normal"/>
      <w:rPr>
        <w:rFonts w:ascii="Times New Roman" w:hAnsi="Times New Roman" w:cs="Times New Roman"/>
        <w:i/>
        <w:i/>
        <w:sz w:val="20"/>
      </w:rPr>
    </w:pPr>
    <w:r>
      <w:rPr>
        <w:rFonts w:cs="Times New Roman" w:ascii="Times New Roman" w:hAnsi="Times New Roman"/>
        <w:i/>
        <w:sz w:val="20"/>
      </w:rPr>
      <w:t>August 22,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72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2000-11-20T18:58:00Z</dcterms:created>
  <dc:creator>Sarah Dennison-Leonard</dc:creator>
  <dc:description/>
  <dc:language>en-CA</dc:language>
  <cp:lastModifiedBy>lisa</cp:lastModifiedBy>
  <cp:lastPrinted>2000-08-22T11:56:00Z</cp:lastPrinted>
  <dcterms:modified xsi:type="dcterms:W3CDTF">2000-11-20T18:58:00Z</dcterms:modified>
  <cp:revision>2</cp:revision>
  <dc:subject/>
  <dc:title>White Paper – WSCC ADR</dc:title>
</cp:coreProperties>
</file>