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 POSTING AGREEMENT</w:t>
      </w:r>
    </w:p>
    <w:p>
      <w:pPr>
        <w:pStyle w:val="Normal"/>
        <w:jc w:val="both"/>
        <w:rPr>
          <w:b/>
          <w:sz w:val="22"/>
        </w:rPr>
      </w:pPr>
      <w:r>
        <w:rPr>
          <w:b/>
          <w:sz w:val="22"/>
        </w:rPr>
      </w:r>
    </w:p>
    <w:p>
      <w:pPr>
        <w:pStyle w:val="Normal"/>
        <w:jc w:val="both"/>
        <w:rPr>
          <w:b/>
          <w:sz w:val="22"/>
        </w:rPr>
      </w:pPr>
      <w:r>
        <w:rPr>
          <w:b/>
          <w:sz w:val="22"/>
        </w:rPr>
      </w:r>
    </w:p>
    <w:p>
      <w:pPr>
        <w:pStyle w:val="BodyText"/>
        <w:ind w:firstLine="720" w:end="0"/>
        <w:jc w:val="both"/>
        <w:rPr/>
      </w:pPr>
      <w:r>
        <w:rPr/>
        <w:t xml:space="preserve">THIS PRICE POSTING AGREEMENT dated as of _______, 2000 (this </w:t>
      </w:r>
      <w:r>
        <w:rPr>
          <w:i/>
          <w:iCs/>
        </w:rPr>
        <w:t>“Agreement”</w:t>
      </w:r>
      <w:r>
        <w:rPr/>
        <w:t xml:space="preserve">) is by and between [Enron Net Works LLC, a Delaware limited liability company] ("Enron"), which has its principal place of business at 1400 Smith Street, Houston, Texas 77002, and _______________, a _____________ (the </w:t>
      </w:r>
      <w:r>
        <w:rPr>
          <w:i/>
          <w:iCs/>
        </w:rPr>
        <w:t>“Sponsor”</w:t>
      </w:r>
      <w:r>
        <w:rPr/>
        <w:t xml:space="preserve">), which has its principal place of business at __________________.  </w:t>
      </w:r>
    </w:p>
    <w:p>
      <w:pPr>
        <w:pStyle w:val="BodyText"/>
        <w:ind w:firstLine="720" w:end="0"/>
        <w:jc w:val="both"/>
        <w:rPr/>
      </w:pPr>
      <w:r>
        <w:rPr/>
        <w:t xml:space="preserve">WHEREAS, Sponsor owns and operates _________________ (the </w:t>
      </w:r>
      <w:r>
        <w:rPr>
          <w:i/>
          <w:iCs/>
        </w:rPr>
        <w:t>“Sponsor Platform”</w:t>
      </w:r>
      <w:r>
        <w:rPr/>
        <w:t xml:space="preserve">), an electronic trading facility for the trading of over-the-counter energy commodities and derivative products on physical commodities; and </w:t>
      </w:r>
    </w:p>
    <w:p>
      <w:pPr>
        <w:pStyle w:val="BodyText"/>
        <w:ind w:firstLine="720" w:end="0"/>
        <w:jc w:val="both"/>
        <w:rPr/>
      </w:pPr>
      <w:r>
        <w:rPr/>
        <w:t>WHEREAS, Sponsor has requested that Enron make available to persons seeking to transact on the Sponsor Platform (i) an opportunity to view Enron’s prices for certain energy commodities and derivative products on physical commodities, and (ii) an opportunity to enter into transactions with Enron at such prices; and</w:t>
      </w:r>
    </w:p>
    <w:p>
      <w:pPr>
        <w:pStyle w:val="BodyText"/>
        <w:ind w:firstLine="720" w:end="0"/>
        <w:jc w:val="both"/>
        <w:rPr/>
      </w:pPr>
      <w:r>
        <w:rPr/>
        <w:t>WHEREAS, Enron has agreed to make prices for certain energy commodities and derivate products on physical commodities available to persons seeking to transact on the Sponsor Platform, and has agreed to permit such persons to attempt to transaction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bCs/>
          <w:u w:val="single"/>
        </w:rPr>
        <w:t>Definitions</w:t>
      </w:r>
      <w:r>
        <w:rPr>
          <w:b/>
          <w:bCs/>
        </w:rPr>
        <w:t xml:space="preserve">.  </w:t>
      </w:r>
      <w:r>
        <w:rPr/>
        <w:t>The following terms shall have the meanings ascribed thereto:</w:t>
      </w:r>
    </w:p>
    <w:p>
      <w:pPr>
        <w:pStyle w:val="BodyText"/>
        <w:ind w:firstLine="720" w:end="0"/>
        <w:jc w:val="both"/>
        <w:rPr/>
      </w:pPr>
      <w:r>
        <w:rPr>
          <w:i/>
          <w:iCs/>
        </w:rPr>
        <w:t>“</w:t>
      </w:r>
      <w:r>
        <w:rPr>
          <w:i/>
          <w:iCs/>
        </w:rPr>
        <w:t>Access Agreement”</w:t>
      </w:r>
      <w:r>
        <w:rPr/>
        <w:t xml:space="preserve"> means all agreements (other than this Agreement) between Enron and Sponsor regarding Enron’s access to and participation on the Platform.</w:t>
      </w:r>
    </w:p>
    <w:p>
      <w:pPr>
        <w:pStyle w:val="BodyText"/>
        <w:ind w:firstLine="720" w:end="0"/>
        <w:jc w:val="both"/>
        <w:rPr/>
      </w:pPr>
      <w:r>
        <w:rPr>
          <w:i/>
          <w:iCs/>
        </w:rPr>
        <w:t>“</w:t>
      </w:r>
      <w:r>
        <w:rPr>
          <w:i/>
          <w:iCs/>
        </w:rPr>
        <w:t>Agreement”</w:t>
      </w:r>
      <w:r>
        <w:rPr/>
        <w:t xml:space="preserve"> has the meaning set forth in the recitals.</w:t>
      </w:r>
    </w:p>
    <w:p>
      <w:pPr>
        <w:pStyle w:val="BodyText"/>
        <w:ind w:firstLine="720" w:end="0"/>
        <w:jc w:val="both"/>
        <w:rPr/>
      </w:pPr>
      <w:r>
        <w:rPr>
          <w:i/>
          <w:iCs/>
        </w:rPr>
        <w:t>“</w:t>
      </w:r>
      <w:r>
        <w:rPr>
          <w:i/>
          <w:iCs/>
        </w:rPr>
        <w:t>Annual Renewal Date”</w:t>
      </w:r>
      <w:r>
        <w:rPr/>
        <w:t xml:space="preserve"> means the one-year anniversary of the Interface Completion Date occurring in 2001, 2002 and 2003.</w:t>
      </w:r>
    </w:p>
    <w:p>
      <w:pPr>
        <w:pStyle w:val="BodyText"/>
        <w:ind w:firstLine="720" w:end="0"/>
        <w:jc w:val="both"/>
        <w:rPr/>
      </w:pPr>
      <w:r>
        <w:rPr>
          <w:i/>
          <w:iCs/>
        </w:rPr>
        <w:t>“</w:t>
      </w:r>
      <w:r>
        <w:rPr>
          <w:i/>
          <w:iCs/>
        </w:rPr>
        <w:t>Annual Review Date”</w:t>
      </w:r>
      <w:r>
        <w:rPr/>
        <w:t xml:space="preserve"> means each one-year anniversary of the Interface Completion Date.</w:t>
      </w:r>
    </w:p>
    <w:p>
      <w:pPr>
        <w:pStyle w:val="BodyText"/>
        <w:ind w:firstLine="720" w:end="0"/>
        <w:jc w:val="both"/>
        <w:rPr/>
      </w:pPr>
      <w:r>
        <w:rPr>
          <w:i/>
          <w:iCs/>
        </w:rPr>
        <w:t>“</w:t>
      </w:r>
      <w:r>
        <w:rPr>
          <w:i/>
          <w:iCs/>
        </w:rPr>
        <w:t>Competing Platform”</w:t>
      </w:r>
      <w:r>
        <w:rPr/>
        <w:t xml:space="preserve"> means a multilateral, fee-for-transaction electronic trading platform for products that include Specified Products.</w:t>
      </w:r>
    </w:p>
    <w:p>
      <w:pPr>
        <w:pStyle w:val="BodyText"/>
        <w:ind w:firstLine="720" w:end="0"/>
        <w:jc w:val="both"/>
        <w:rPr/>
      </w:pPr>
      <w:r>
        <w:rPr>
          <w:i/>
          <w:iCs/>
        </w:rPr>
        <w:t>“</w:t>
      </w:r>
      <w:r>
        <w:rPr>
          <w:i/>
          <w:iCs/>
        </w:rPr>
        <w:t>Credit Interface”</w:t>
      </w:r>
      <w:r>
        <w:rPr/>
        <w:t xml:space="preserve"> means an Interface for the purpose of permitting Enron to evaluate and make credit decisions with respect to potential transactions.</w:t>
      </w:r>
    </w:p>
    <w:p>
      <w:pPr>
        <w:pStyle w:val="BodyText"/>
        <w:ind w:firstLine="720" w:end="0"/>
        <w:jc w:val="both"/>
        <w:rPr/>
      </w:pPr>
      <w:r>
        <w:rPr>
          <w:i/>
          <w:iCs/>
        </w:rPr>
        <w:t>“</w:t>
      </w:r>
      <w:r>
        <w:rPr>
          <w:i/>
          <w:iCs/>
        </w:rPr>
        <w:t xml:space="preserve">Enron” </w:t>
      </w:r>
      <w:r>
        <w:rPr/>
        <w:t>has the meaning set forth in the recitals.</w:t>
      </w:r>
    </w:p>
    <w:p>
      <w:pPr>
        <w:pStyle w:val="BodyText"/>
        <w:ind w:firstLine="720" w:end="0"/>
        <w:jc w:val="both"/>
        <w:rPr/>
      </w:pPr>
      <w:r>
        <w:rPr>
          <w:i/>
          <w:iCs/>
        </w:rPr>
        <w:t>“</w:t>
      </w:r>
      <w:r>
        <w:rPr>
          <w:i/>
          <w:iCs/>
        </w:rPr>
        <w:t>Enron Interface”</w:t>
      </w:r>
      <w:r>
        <w:rPr/>
        <w:t xml:space="preserve"> has the meaning set forth in </w:t>
      </w:r>
      <w:r>
        <w:rPr>
          <w:u w:val="single"/>
        </w:rPr>
        <w:t>Section 5</w:t>
      </w:r>
      <w:r>
        <w:rPr/>
        <w:t>.</w:t>
      </w:r>
    </w:p>
    <w:p>
      <w:pPr>
        <w:pStyle w:val="BodyText"/>
        <w:ind w:firstLine="720" w:end="0"/>
        <w:jc w:val="both"/>
        <w:rPr/>
      </w:pPr>
      <w:r>
        <w:rPr>
          <w:i/>
          <w:iCs/>
        </w:rPr>
        <w:t>“</w:t>
      </w:r>
      <w:r>
        <w:rPr>
          <w:i/>
          <w:iCs/>
        </w:rPr>
        <w:t>Enron Platform”</w:t>
      </w:r>
      <w:r>
        <w:rPr/>
        <w:t xml:space="preserve"> means any electronic trading platform or other system owned or operated by Enron for the purpose of making available to third parties, including the Sponsor, bids and offers for the Specified Products.</w:t>
      </w:r>
    </w:p>
    <w:p>
      <w:pPr>
        <w:pStyle w:val="BodyText"/>
        <w:ind w:firstLine="720" w:end="0"/>
        <w:jc w:val="both"/>
        <w:rPr/>
      </w:pPr>
      <w:r>
        <w:rPr>
          <w:i/>
          <w:iCs/>
        </w:rPr>
        <w:t>“</w:t>
      </w:r>
      <w:r>
        <w:rPr>
          <w:i/>
          <w:iCs/>
        </w:rPr>
        <w:t>Enron Platform Agreements”</w:t>
      </w:r>
      <w:r>
        <w:rPr/>
        <w:t xml:space="preserve"> means contracts, agreements, or arrangements between Enron and a Participant governing transactions between Enron and such Participant, and if none, Enron’s General Terms and Conditions applying to transactions conducted on the Enron Platform.</w:t>
      </w:r>
    </w:p>
    <w:p>
      <w:pPr>
        <w:pStyle w:val="BodyText"/>
        <w:ind w:firstLine="720" w:end="0"/>
        <w:jc w:val="both"/>
        <w:rPr/>
      </w:pPr>
      <w:r>
        <w:rPr>
          <w:i/>
          <w:iCs/>
        </w:rPr>
        <w:t>“</w:t>
      </w:r>
      <w:r>
        <w:rPr>
          <w:i/>
          <w:iCs/>
        </w:rPr>
        <w:t xml:space="preserve">Enron Platform Regulations” </w:t>
      </w:r>
      <w:r>
        <w:rPr/>
        <w:t>means rules, regulations, and policies established by Enron from time to time with respect to transacting on the Enron Platform.</w:t>
      </w:r>
    </w:p>
    <w:p>
      <w:pPr>
        <w:pStyle w:val="BodyText"/>
        <w:ind w:firstLine="720" w:end="0"/>
        <w:jc w:val="both"/>
        <w:rPr/>
      </w:pPr>
      <w:r>
        <w:rPr>
          <w:i/>
          <w:iCs/>
        </w:rPr>
        <w:t>“</w:t>
      </w:r>
      <w:r>
        <w:rPr>
          <w:i/>
          <w:iCs/>
        </w:rPr>
        <w:t xml:space="preserve">Interface” </w:t>
      </w:r>
      <w:r>
        <w:rPr/>
        <w:t>means the software, systems, communications links and other information, property or materials necessary to link, permit access to, permit transfer of information between, and/or permit any other communications between the Sponsor Platform and the Enron Platform.</w:t>
      </w:r>
    </w:p>
    <w:p>
      <w:pPr>
        <w:pStyle w:val="BodyText"/>
        <w:ind w:firstLine="720" w:end="0"/>
        <w:jc w:val="both"/>
        <w:rPr/>
      </w:pPr>
      <w:r>
        <w:rPr>
          <w:i/>
          <w:iCs/>
        </w:rPr>
        <w:t>“</w:t>
      </w:r>
      <w:r>
        <w:rPr>
          <w:i/>
          <w:iCs/>
        </w:rPr>
        <w:t>Interface Completion Date”</w:t>
      </w:r>
      <w:r>
        <w:rPr/>
        <w:t xml:space="preserve"> shall mean the date that the parties agree that all of the Interfaces have been completed, tested, and ready for operations.  </w:t>
      </w:r>
    </w:p>
    <w:p>
      <w:pPr>
        <w:pStyle w:val="BodyText"/>
        <w:ind w:firstLine="720" w:end="0"/>
        <w:jc w:val="both"/>
        <w:rPr/>
      </w:pPr>
      <w:r>
        <w:rPr>
          <w:i/>
          <w:iCs/>
        </w:rPr>
        <w:t>“</w:t>
      </w:r>
      <w:r>
        <w:rPr>
          <w:i/>
          <w:iCs/>
        </w:rPr>
        <w:t>Participant”</w:t>
      </w:r>
      <w:r>
        <w:rPr/>
        <w:t xml:space="preserve"> means a customer or user of, participant in, or any other person that attempts to transact on, the Sponsor Platform.</w:t>
      </w:r>
    </w:p>
    <w:p>
      <w:pPr>
        <w:pStyle w:val="BodyText"/>
        <w:ind w:firstLine="720" w:end="0"/>
        <w:jc w:val="both"/>
        <w:rPr/>
      </w:pPr>
      <w:r>
        <w:rPr>
          <w:i/>
          <w:iCs/>
        </w:rPr>
        <w:t xml:space="preserve"> “</w:t>
      </w:r>
      <w:r>
        <w:rPr>
          <w:i/>
          <w:iCs/>
        </w:rPr>
        <w:t xml:space="preserve">Proposed Transaction” </w:t>
      </w:r>
      <w:r>
        <w:rPr/>
        <w:t xml:space="preserve">has the meaning set forth in </w:t>
      </w:r>
      <w:r>
        <w:rPr>
          <w:u w:val="single"/>
        </w:rPr>
        <w:t>Section 10(a).</w:t>
      </w:r>
    </w:p>
    <w:p>
      <w:pPr>
        <w:pStyle w:val="BodyText"/>
        <w:ind w:firstLine="720" w:end="0"/>
        <w:jc w:val="both"/>
        <w:rPr/>
      </w:pPr>
      <w:r>
        <w:rPr>
          <w:i/>
          <w:iCs/>
        </w:rPr>
        <w:t>“</w:t>
      </w:r>
      <w:r>
        <w:rPr>
          <w:i/>
          <w:iCs/>
        </w:rPr>
        <w:t>Specified Products”</w:t>
      </w:r>
      <w:r>
        <w:rPr/>
        <w:t xml:space="preserve"> means the energy commodities and derivative products set forth on </w:t>
      </w:r>
      <w:r>
        <w:rPr>
          <w:u w:val="single"/>
        </w:rPr>
        <w:t>Schedule A</w:t>
      </w:r>
      <w:r>
        <w:rPr/>
        <w:t xml:space="preserve"> hereto, as </w:t>
      </w:r>
      <w:r>
        <w:rPr>
          <w:u w:val="single"/>
        </w:rPr>
        <w:t>Schedule A</w:t>
      </w:r>
      <w:r>
        <w:rPr/>
        <w:t xml:space="preserve"> may be amended from time to time pursuant to </w:t>
      </w:r>
      <w:r>
        <w:rPr>
          <w:u w:val="single"/>
        </w:rPr>
        <w:t>Section 4</w:t>
      </w:r>
      <w:r>
        <w:rPr/>
        <w:t>.</w:t>
      </w:r>
    </w:p>
    <w:p>
      <w:pPr>
        <w:pStyle w:val="BodyText"/>
        <w:ind w:firstLine="720" w:end="0"/>
        <w:jc w:val="both"/>
        <w:rPr/>
      </w:pPr>
      <w:r>
        <w:rPr>
          <w:i/>
          <w:iCs/>
        </w:rPr>
        <w:t>“</w:t>
      </w:r>
      <w:r>
        <w:rPr>
          <w:i/>
          <w:iCs/>
        </w:rPr>
        <w:t>Sponsor”</w:t>
      </w:r>
      <w:r>
        <w:rPr/>
        <w:t xml:space="preserve"> has the meaning set forth in the recitals.</w:t>
      </w:r>
    </w:p>
    <w:p>
      <w:pPr>
        <w:pStyle w:val="BodyText"/>
        <w:ind w:firstLine="720" w:end="0"/>
        <w:jc w:val="both"/>
        <w:rPr/>
      </w:pPr>
      <w:r>
        <w:rPr>
          <w:i/>
          <w:iCs/>
        </w:rPr>
        <w:t>“</w:t>
      </w:r>
      <w:r>
        <w:rPr>
          <w:i/>
          <w:iCs/>
        </w:rPr>
        <w:t>Sponsor Interface”</w:t>
      </w:r>
      <w:r>
        <w:rPr/>
        <w:t xml:space="preserve"> has the meaning set forth in </w:t>
      </w:r>
      <w:r>
        <w:rPr>
          <w:u w:val="single"/>
        </w:rPr>
        <w:t>Section 5</w:t>
      </w:r>
      <w:r>
        <w:rPr/>
        <w:t>.</w:t>
      </w:r>
    </w:p>
    <w:p>
      <w:pPr>
        <w:pStyle w:val="BodyText"/>
        <w:ind w:firstLine="720" w:end="0"/>
        <w:jc w:val="both"/>
        <w:rPr/>
      </w:pPr>
      <w:r>
        <w:rPr>
          <w:i/>
          <w:iCs/>
        </w:rPr>
        <w:t>“</w:t>
      </w:r>
      <w:r>
        <w:rPr>
          <w:i/>
          <w:iCs/>
        </w:rPr>
        <w:t>Sponsor Price Data Feed”</w:t>
      </w:r>
      <w:r>
        <w:rPr/>
        <w:t xml:space="preserve"> means a real-time price data feed in XML format providing to Enron all prices on Sponsor’s Platform for North American natural gas and electricity products for the purpose of permitting Enron to ___________________.</w:t>
      </w:r>
    </w:p>
    <w:p>
      <w:pPr>
        <w:pStyle w:val="BodyText"/>
        <w:ind w:firstLine="720" w:end="0"/>
        <w:jc w:val="both"/>
        <w:rPr/>
      </w:pPr>
      <w:r>
        <w:rPr>
          <w:bCs/>
        </w:rPr>
        <w:t>2.</w:t>
        <w:tab/>
      </w:r>
      <w:r>
        <w:rPr>
          <w:b/>
          <w:u w:val="single"/>
        </w:rPr>
        <w:t>Agreement to Post Prices.</w:t>
      </w:r>
      <w:r>
        <w:rPr/>
        <w:t xml:space="preserve">  Enron agrees, on and subject to the terms and conditions of this Agreement, to post prices on the Sponsor Platform in order to permit Participants to propose to Enron transactions in the Specified Products.  The parties agree that, regardless of the format in which Enron’s prices are published or presented on the Sponsor Platform (including, but not limited to, as “bids” or “offers”), transactions with Enron shall be effected only in accordance with the terms and conditions of </w:t>
      </w:r>
      <w:r>
        <w:rPr>
          <w:u w:val="single"/>
        </w:rPr>
        <w:t>Section 10</w:t>
      </w:r>
      <w:r>
        <w:rPr/>
        <w:t>.</w:t>
      </w:r>
    </w:p>
    <w:p>
      <w:pPr>
        <w:pStyle w:val="BodyText"/>
        <w:ind w:firstLine="720" w:end="0"/>
        <w:jc w:val="both"/>
        <w:rPr/>
      </w:pPr>
      <w:r>
        <w:rPr/>
        <w:t>3.</w:t>
        <w:tab/>
      </w:r>
      <w:r>
        <w:rPr>
          <w:b/>
          <w:bCs/>
          <w:u w:val="single"/>
        </w:rPr>
        <w:t>Term of Agreement</w:t>
      </w:r>
      <w:r>
        <w:rPr>
          <w:b/>
          <w:bCs/>
        </w:rPr>
        <w:t>.</w:t>
      </w:r>
      <w:r>
        <w:rPr/>
        <w:t xml:space="preserve">  This Agreement shall become effective as of the date that it is executed by both parties, and shall be effective for an initial term of one (1) year, whereupon it shall be deemed to be renewed, without any action on the part of either party, for successive one (1) year terms, unless and until it has been terminated pursuant to </w:t>
      </w:r>
      <w:r>
        <w:rPr>
          <w:u w:val="single"/>
        </w:rPr>
        <w:t>Section 14</w:t>
      </w:r>
      <w:r>
        <w:rPr/>
        <w:t xml:space="preserve">.  </w:t>
      </w:r>
    </w:p>
    <w:p>
      <w:pPr>
        <w:pStyle w:val="Normal"/>
        <w:ind w:firstLine="720" w:end="0"/>
        <w:jc w:val="both"/>
        <w:rPr/>
      </w:pPr>
      <w:r>
        <w:rPr/>
        <w:t>4.</w:t>
        <w:tab/>
      </w:r>
      <w:r>
        <w:rPr>
          <w:b/>
          <w:bCs/>
          <w:u w:val="single"/>
        </w:rPr>
        <w:t>Specified Products</w:t>
      </w:r>
      <w:r>
        <w:rPr/>
        <w:t xml:space="preserve">.  </w:t>
      </w:r>
      <w:r>
        <w:rPr>
          <w:u w:val="single"/>
        </w:rPr>
        <w:t>Schedule A</w:t>
      </w:r>
      <w:r>
        <w:rPr/>
        <w:t xml:space="preserve"> sets forth the Specified Products, those energy commodity and derivative products for which Enron agrees to post bids and offers pursuant to this Agreement.  </w:t>
      </w:r>
      <w:r>
        <w:rPr>
          <w:u w:val="single"/>
        </w:rPr>
        <w:t>Schedule A</w:t>
      </w:r>
      <w:r>
        <w:rPr/>
        <w:t xml:space="preserve"> may be amended from time to time by mutual agreement of Enron and Sponsor to add, delete or modify Specified Products, and upon any amendment to </w:t>
      </w:r>
      <w:r>
        <w:rPr>
          <w:u w:val="single"/>
        </w:rPr>
        <w:t>Schedule A</w:t>
      </w:r>
      <w:r>
        <w:rPr/>
        <w:t xml:space="preserve"> effected according to the terms of this </w:t>
      </w:r>
      <w:r>
        <w:rPr>
          <w:u w:val="single"/>
        </w:rPr>
        <w:t>Section 3</w:t>
      </w:r>
      <w:r>
        <w:rPr/>
        <w:t xml:space="preserve">, a new </w:t>
      </w:r>
      <w:r>
        <w:rPr>
          <w:u w:val="single"/>
        </w:rPr>
        <w:t>Schedule A</w:t>
      </w:r>
      <w:r>
        <w:rPr/>
        <w:t xml:space="preserve"> shall be deemed to have been substituted for the then-existing </w:t>
      </w:r>
      <w:r>
        <w:rPr>
          <w:u w:val="single"/>
        </w:rPr>
        <w:t>Schedule A.</w:t>
      </w:r>
      <w:r>
        <w:rPr/>
        <w:t xml:space="preserve"> </w:t>
      </w:r>
    </w:p>
    <w:p>
      <w:pPr>
        <w:pStyle w:val="Normal"/>
        <w:ind w:firstLine="720" w:end="0"/>
        <w:jc w:val="both"/>
        <w:rPr/>
      </w:pPr>
      <w:r>
        <w:rPr/>
      </w:r>
    </w:p>
    <w:p>
      <w:pPr>
        <w:pStyle w:val="Normal"/>
        <w:ind w:firstLine="720" w:end="0"/>
        <w:jc w:val="both"/>
        <w:rPr/>
      </w:pPr>
      <w:r>
        <w:rPr/>
        <w:t xml:space="preserve"> </w:t>
      </w:r>
      <w:r>
        <w:rPr/>
        <w:t xml:space="preserve">In order to amend </w:t>
      </w:r>
      <w:r>
        <w:rPr>
          <w:u w:val="single"/>
        </w:rPr>
        <w:t>Schedule A</w:t>
      </w:r>
      <w:r>
        <w:rPr/>
        <w:t xml:space="preserve">, Sponsor may request that Enron add or delete products to </w:t>
      </w:r>
      <w:r>
        <w:rPr>
          <w:u w:val="single"/>
        </w:rPr>
        <w:t>Schedule A</w:t>
      </w:r>
      <w:r>
        <w:rPr/>
        <w:t xml:space="preserve">.  Enron will make commercially reasonable efforts to respond to Sponsor’s request within five (5) business days, but Enron may, in its sole discretion, deny such request, and if Enron does not respond to such request within such (5) business days, then Sponsor’s request shall be deemed to have been denied. In addition, Enron has the right, but not the obligation, to add to </w:t>
      </w:r>
      <w:r>
        <w:rPr>
          <w:u w:val="single"/>
        </w:rPr>
        <w:t>Schedule A</w:t>
      </w:r>
      <w:r>
        <w:rPr/>
        <w:t xml:space="preserve"> any products that Sponsor lists upon the Sponsor Platform.</w:t>
      </w:r>
    </w:p>
    <w:p>
      <w:pPr>
        <w:pStyle w:val="Normal"/>
        <w:ind w:firstLine="720" w:end="0"/>
        <w:jc w:val="both"/>
        <w:rPr/>
      </w:pPr>
      <w:r>
        <w:rPr/>
      </w:r>
    </w:p>
    <w:p>
      <w:pPr>
        <w:pStyle w:val="Normal"/>
        <w:ind w:firstLine="720" w:end="0"/>
        <w:jc w:val="both"/>
        <w:rPr/>
      </w:pPr>
      <w:r>
        <w:rPr/>
        <w:t>To the extent that Enron posts bids or offers on, and enters into transactions through, the Platform, it shall do so solely with respect to the Specified Products.</w:t>
      </w:r>
    </w:p>
    <w:p>
      <w:pPr>
        <w:pStyle w:val="BodyText"/>
        <w:ind w:firstLine="720" w:end="0"/>
        <w:jc w:val="both"/>
        <w:rPr>
          <w:bCs/>
        </w:rPr>
      </w:pPr>
      <w:r>
        <w:rPr>
          <w:bCs/>
        </w:rPr>
      </w:r>
    </w:p>
    <w:p>
      <w:pPr>
        <w:pStyle w:val="BodyText"/>
        <w:ind w:firstLine="720" w:end="0"/>
        <w:jc w:val="both"/>
        <w:rPr>
          <w:i/>
          <w:i/>
          <w:iCs/>
          <w:sz w:val="22"/>
        </w:rPr>
      </w:pPr>
      <w:r>
        <w:rPr>
          <w:bCs/>
        </w:rPr>
        <w:t>5.</w:t>
        <w:tab/>
      </w:r>
      <w:r>
        <w:rPr>
          <w:b/>
          <w:u w:val="single"/>
        </w:rPr>
        <w:t>Establishment of Interfaces.</w:t>
      </w:r>
      <w:r>
        <w:rPr>
          <w:bCs/>
        </w:rPr>
        <w:t xml:space="preserve">  </w:t>
      </w:r>
      <w:r>
        <w:rPr/>
        <w:t xml:space="preserve">In order to ensure that the conditions set forth in </w:t>
      </w:r>
      <w:r>
        <w:rPr>
          <w:u w:val="single"/>
        </w:rPr>
        <w:t>Section 10</w:t>
      </w:r>
      <w:r>
        <w:rPr/>
        <w:t xml:space="preserve"> of this Agreement may be satisfied in connection with Proposed Transactions to be entered into through the Sponsor Platform and the Enron Platform, (i) </w:t>
      </w:r>
      <w:r>
        <w:rPr>
          <w:bCs/>
        </w:rPr>
        <w:t xml:space="preserve">Sponsor will </w:t>
      </w:r>
      <w:r>
        <w:rPr/>
        <w:t xml:space="preserve">provide, at the Sponsor’s expense and in accordance with Enron’s specifications and technical requirements [set forth in </w:t>
      </w:r>
      <w:r>
        <w:rPr>
          <w:u w:val="single"/>
        </w:rPr>
        <w:t>Schedule B</w:t>
      </w:r>
      <w:r>
        <w:rPr/>
        <w:t xml:space="preserve">], an Interface (the </w:t>
      </w:r>
      <w:r>
        <w:rPr>
          <w:i/>
          <w:iCs/>
        </w:rPr>
        <w:t>“Sponsor Interface”</w:t>
      </w:r>
      <w:r>
        <w:rPr/>
        <w:t xml:space="preserve">) which will be used by Enron to post on the Sponsor Platform bid and offers for potential transactions in Subject Products in accordance with </w:t>
      </w:r>
      <w:r>
        <w:rPr>
          <w:u w:val="single"/>
        </w:rPr>
        <w:t>Section 10</w:t>
      </w:r>
      <w:r>
        <w:rPr/>
        <w:t xml:space="preserve">; (ii) Enron will provide, at Enron’s expense and in accordance with Sponsor’s specifications and technical requirements [set forth in </w:t>
      </w:r>
      <w:r>
        <w:rPr>
          <w:u w:val="single"/>
        </w:rPr>
        <w:t>Schedule C</w:t>
      </w:r>
      <w:r>
        <w:rPr/>
        <w:t xml:space="preserve">, an Interface (the </w:t>
      </w:r>
      <w:r>
        <w:rPr>
          <w:i/>
          <w:iCs/>
        </w:rPr>
        <w:t>“Enron Interface”</w:t>
      </w:r>
      <w:r>
        <w:rPr/>
        <w:t xml:space="preserve">) which will be used by Sponsor to transmit to the Enron Platform potential transactions in Subject Products in accordance with </w:t>
      </w:r>
      <w:r>
        <w:rPr>
          <w:u w:val="single"/>
        </w:rPr>
        <w:t>Section 10</w:t>
      </w:r>
      <w:r>
        <w:rPr/>
        <w:t xml:space="preserve">; (iii) the parties will also establish the Credit Interface to facilitate Enron’s credit decisions with respect to attempted transactions; and (iv) the Sponsor will establish the Sponsor Price Data Feed.  </w:t>
      </w:r>
      <w:r>
        <w:rPr>
          <w:i/>
          <w:iCs/>
        </w:rPr>
        <w:t>[It would appear preferable to identify to the contract the specs and technical requirements, but may not be feasible in this case]</w:t>
      </w:r>
    </w:p>
    <w:p>
      <w:pPr>
        <w:pStyle w:val="BodyText"/>
        <w:ind w:firstLine="720" w:end="0"/>
        <w:jc w:val="both"/>
        <w:rPr>
          <w:i/>
          <w:i/>
          <w:iCs/>
          <w:sz w:val="22"/>
        </w:rPr>
      </w:pPr>
      <w:r>
        <w:rPr>
          <w:bCs/>
        </w:rPr>
        <w:t>6.</w:t>
        <w:tab/>
      </w:r>
      <w:r>
        <w:rPr>
          <w:b/>
          <w:u w:val="single"/>
        </w:rPr>
        <w:t>Credit Interface</w:t>
      </w:r>
      <w:r>
        <w:rPr/>
        <w:t xml:space="preserve">.  </w:t>
      </w:r>
      <w:r>
        <w:rPr>
          <w:color w:val="000000"/>
        </w:rPr>
        <w:t>Sponsor will make available to Enron all technical information necessary for Enron provide to Sponsor a Credit Interface, which will use Enron’s credit matrix to evaluate credit of Participants for each Proposed Transaction and that will provide Participants with an “Accept/Reject” response to all Proposed Transactions on the Enron Platform. Enron will have the ability to update its credit matrix from time to time in such manner as it deems commercially appropriate.</w:t>
      </w:r>
      <w:r>
        <w:rPr>
          <w:i/>
          <w:iCs/>
        </w:rPr>
        <w:t xml:space="preserve"> [Need more information on this in order to set out parties’ obligations with respect to the Credit Interface.  What information needs to be provided?  What are the technical and operating requirements?]</w:t>
      </w:r>
    </w:p>
    <w:p>
      <w:pPr>
        <w:pStyle w:val="BodyText"/>
        <w:ind w:firstLine="720" w:end="0"/>
        <w:jc w:val="both"/>
        <w:rPr/>
      </w:pPr>
      <w:r>
        <w:rPr>
          <w:bCs/>
        </w:rPr>
        <w:t>7.</w:t>
        <w:tab/>
      </w:r>
      <w:r>
        <w:rPr>
          <w:b/>
          <w:u w:val="single"/>
        </w:rPr>
        <w:t>Sponsor Price Data Feed</w:t>
      </w:r>
      <w:r>
        <w:rPr/>
        <w:t xml:space="preserve">.  Prior to the Platform Interface Date, Sponsor will establish with the Enron Platform the Sponsor Price Data Feed; </w:t>
      </w:r>
      <w:r>
        <w:rPr>
          <w:u w:val="single"/>
        </w:rPr>
        <w:t>provided</w:t>
      </w:r>
      <w:r>
        <w:rPr/>
        <w:t xml:space="preserve">, </w:t>
      </w:r>
      <w:r>
        <w:rPr>
          <w:u w:val="single"/>
        </w:rPr>
        <w:t>however</w:t>
      </w:r>
      <w:r>
        <w:rPr/>
        <w:t>, that Sponsor may terminate the Sponsor Price Data Feed in the event that Enron uses the Sponsor Price Data Feed to populate the database of a Competing Platform (but may terminate only that part of the Sponsor Price Data Feed used to populate the database of the Competing Platform).  The Company reserves the right to modify, reduce or limit the real-time XML price feed to include only prices for those products for which Enron has agreed to post prices on the Company’s website.</w:t>
      </w:r>
    </w:p>
    <w:p>
      <w:pPr>
        <w:pStyle w:val="BodyText"/>
        <w:ind w:firstLine="720" w:end="0"/>
        <w:jc w:val="both"/>
        <w:rPr>
          <w:u w:val="single"/>
        </w:rPr>
      </w:pPr>
      <w:r>
        <w:rPr/>
        <w:t>8.</w:t>
        <w:tab/>
      </w:r>
      <w:r>
        <w:rPr>
          <w:b/>
          <w:bCs/>
          <w:u w:val="single"/>
        </w:rPr>
        <w:t>Maintenance of Interfaces</w:t>
      </w:r>
      <w:r>
        <w:rPr>
          <w:b/>
          <w:bCs/>
        </w:rPr>
        <w:t>.</w:t>
      </w:r>
      <w:r>
        <w:rPr/>
        <w:t xml:space="preserve">  Each party shall be responsible for ensuring that its Interface is operated and maintained in accordance with this Agreement.  </w:t>
      </w:r>
    </w:p>
    <w:p>
      <w:pPr>
        <w:pStyle w:val="BodyText"/>
        <w:ind w:firstLine="720" w:end="0"/>
        <w:jc w:val="both"/>
        <w:rPr>
          <w:sz w:val="22"/>
          <w:u w:val="single"/>
        </w:rPr>
      </w:pPr>
      <w:r>
        <w:rPr/>
        <w:t>9.</w:t>
        <w:tab/>
      </w:r>
      <w:r>
        <w:rPr>
          <w:b/>
          <w:bCs/>
          <w:u w:val="single"/>
        </w:rPr>
        <w:t>Mapping of Products</w:t>
      </w:r>
      <w:r>
        <w:rPr>
          <w:b/>
          <w:bCs/>
        </w:rPr>
        <w:t>.</w:t>
      </w:r>
      <w:r>
        <w:rPr/>
        <w:t xml:space="preserve">  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w:t>
      </w:r>
      <w:r>
        <w:rPr>
          <w:u w:val="single"/>
        </w:rPr>
        <w:t xml:space="preserve">   </w:t>
      </w:r>
    </w:p>
    <w:p>
      <w:pPr>
        <w:pStyle w:val="BodyText"/>
        <w:ind w:firstLine="720" w:end="0"/>
        <w:jc w:val="both"/>
        <w:rPr/>
      </w:pPr>
      <w:r>
        <w:rPr/>
        <w:t>10.</w:t>
        <w:tab/>
      </w:r>
      <w:r>
        <w:rPr>
          <w:b/>
          <w:bCs/>
          <w:u w:val="single"/>
        </w:rPr>
        <w:t>E</w:t>
      </w:r>
      <w:r>
        <w:rPr>
          <w:b/>
          <w:u w:val="single"/>
        </w:rPr>
        <w:t>xecution of Transactions.</w:t>
      </w:r>
      <w:r>
        <w:rPr/>
        <w:t xml:space="preserve">   </w:t>
      </w:r>
    </w:p>
    <w:p>
      <w:pPr>
        <w:pStyle w:val="BodyText"/>
        <w:ind w:firstLine="720" w:end="0"/>
        <w:jc w:val="both"/>
        <w:rPr/>
      </w:pPr>
      <w:r>
        <w:rPr/>
        <w:t>(a)</w:t>
        <w:tab/>
        <w:t xml:space="preserve">Prices posted by Enron on the Company’s website shall not be deemed to be offers to sell or buy.  The acceptance of a price posted by Enron on the Sponsor Platform, or the matching of a price posted by Enron on the Sponsor Platform (each, a </w:t>
      </w:r>
      <w:r>
        <w:rPr>
          <w:i/>
          <w:iCs/>
        </w:rPr>
        <w:t>“Proposed Transaction”</w:t>
      </w:r>
      <w:r>
        <w:rPr/>
        <w:t>) with an price bid posted by another Participant, shall not constitute an executed transaction, and Enron shall have no obligations whatsoever to such other Participant, to Sponsor or the Platform with respect to such transaction, unless and until the following conditions have been satisfied:</w:t>
      </w:r>
    </w:p>
    <w:p>
      <w:pPr>
        <w:pStyle w:val="BodyText"/>
        <w:ind w:start="720" w:end="0"/>
        <w:jc w:val="both"/>
        <w:rPr/>
      </w:pPr>
      <w:r>
        <w:rPr/>
        <w:t>(i)</w:t>
        <w:tab/>
        <w:t>the terms of the Proposed Transaction shall have been transmitted through the Enron Interface to the Enron Platform;</w:t>
      </w:r>
    </w:p>
    <w:p>
      <w:pPr>
        <w:pStyle w:val="BodyText"/>
        <w:ind w:start="720" w:end="0"/>
        <w:jc w:val="both"/>
        <w:rPr/>
      </w:pPr>
      <w:r>
        <w:rPr/>
        <w:t>(ii)</w:t>
        <w:tab/>
        <w:t>the terms of the Proposed Transaction shall have been received by the Enron Platform, with the Participant identified to Enron by Sponsor, in accordance with the Enron Platform Regulations and the Enron Platform Agreements;  and</w:t>
      </w:r>
    </w:p>
    <w:p>
      <w:pPr>
        <w:pStyle w:val="BodyText"/>
        <w:ind w:start="720" w:end="0"/>
        <w:jc w:val="both"/>
        <w:rPr/>
      </w:pPr>
      <w:r>
        <w:rPr/>
        <w:t>(iii)</w:t>
        <w:tab/>
        <w:t>the terms of the Proposed Transaction shall have been accepted and confirmed by Enron in accordance with the Enron Platform Regulations and the applicable Enron Platform Agreements.</w:t>
      </w:r>
    </w:p>
    <w:p>
      <w:pPr>
        <w:pStyle w:val="BodyText"/>
        <w:ind w:firstLine="720" w:end="0"/>
        <w:jc w:val="both"/>
        <w:rPr/>
      </w:pPr>
      <w:r>
        <w:rPr/>
        <w:t>(b)</w:t>
        <w:tab/>
        <w:t xml:space="preserve">Sponsor shall ensure that Participants are provided with adequate and appropriate notice of the manner in which Proposed Transactions to be entered into with Enron through the Sponsor Platform, are to be executed and confirmed and, where necessary, shall make appropriate amendments to any agreements between Sponsor and such Participants governing the execution of transactions through the Platform and/or to the terms and conditions of trading on the Platform.  Sponsor agrees to provide Enron with advance copies and opportunity to comment on all such disclosures and notices prior to publication to Participants. </w:t>
      </w:r>
    </w:p>
    <w:p>
      <w:pPr>
        <w:pStyle w:val="BodyText"/>
        <w:ind w:firstLine="720" w:end="0"/>
        <w:jc w:val="both"/>
        <w:rPr/>
      </w:pPr>
      <w:r>
        <w:rPr/>
        <w:t>(c)</w:t>
        <w:tab/>
        <w:t xml:space="preserve">Without limitation of the provisions of subsection (a) of this </w:t>
      </w:r>
      <w:r>
        <w:rPr>
          <w:u w:val="single"/>
        </w:rPr>
        <w:t>Section 10</w:t>
      </w:r>
      <w:r>
        <w:rPr/>
        <w:t xml:space="preserve">, it is understood and agreed that neither Enron nor a Participant that is the counterparty to a Proposed Transaction shall have any obligation to make any commission or other payments that would otherwise be due to Sponsor or the Sponsor Platform in connection with executed transactions, unless and until such Proposed Transaction has been executed and confirmed in accordance with this </w:t>
      </w:r>
      <w:r>
        <w:rPr>
          <w:u w:val="single"/>
        </w:rPr>
        <w:t>Section 10</w:t>
      </w:r>
      <w:r>
        <w:rPr/>
        <w:t xml:space="preserve">.  In the event that such Proposed Transaction is executed and confirmed in accordance with this </w:t>
      </w:r>
      <w:r>
        <w:rPr>
          <w:u w:val="single"/>
        </w:rPr>
        <w:t>Section 10</w:t>
      </w:r>
      <w:r>
        <w:rPr/>
        <w:t>, Enron will not be required to pay any commissions or other charges to Sponsor or the Sponsor Platform with respect such Proposed Transaction, and any such commissions or charges required to be paid by Participant shall be no greater than the amounts that would otherwise be charged on transactions executed exclusively through the Sponsor Platform, in accordance with the Platform’s commission schedule as then generally in effect.</w:t>
      </w:r>
    </w:p>
    <w:p>
      <w:pPr>
        <w:pStyle w:val="BodyText"/>
        <w:ind w:firstLine="720" w:end="0"/>
        <w:jc w:val="both"/>
        <w:rPr/>
      </w:pPr>
      <w:r>
        <w:rPr/>
        <w:t>(d)</w:t>
        <w:tab/>
        <w:t>The parties agree, that as between themselves, the point of contract for all transactions consummated on prices that are posted by Enron shall be the Enron Interface.  Any and all Proposed Transactions that are executed between Enron and a Participant in accordance with the terms hereof shall be solely between Enron and such Participant, and shall be subject to and construed in accordance with Enron Platform Agreements and Enron Platform Regulations, and neither Sponsor nor the Sponsor Platform shall have any involvement therein (except as expressly set forth herein) or rights or obligations with respect thereto.</w:t>
      </w:r>
    </w:p>
    <w:p>
      <w:pPr>
        <w:pStyle w:val="BodyText"/>
        <w:ind w:firstLine="720" w:end="0"/>
        <w:jc w:val="both"/>
        <w:rPr/>
      </w:pPr>
      <w:r>
        <w:rPr/>
        <w:t>(e)</w:t>
        <w:tab/>
        <w:t>Enron shall not be required to act in a manner that is inconsistent with or contrary to its business methods, practices or policies employed by Enron on the Enron Platform.  Without limiting the foregoing, Enron may, in its sole discretion, suspend prices or trading, either generally or for particular products, where prices or trading have been similarly suspended on the Enron Platform, without liability to Sponsor, the Sponsor Platform, or any Participant.   Enron shall have no obligation to post prices with respect to products for which it no longer posts prices on the Enron Platform.</w:t>
      </w:r>
    </w:p>
    <w:p>
      <w:pPr>
        <w:pStyle w:val="BodyText"/>
        <w:ind w:firstLine="720" w:end="0"/>
        <w:jc w:val="both"/>
        <w:rPr>
          <w:b/>
          <w:u w:val="single"/>
        </w:rPr>
      </w:pPr>
      <w:r>
        <w:rPr>
          <w:bCs/>
        </w:rPr>
        <w:t>11.</w:t>
        <w:tab/>
      </w:r>
      <w:r>
        <w:rPr>
          <w:b/>
          <w:u w:val="single"/>
        </w:rPr>
        <w:t>Costs and Expenses</w:t>
      </w:r>
      <w:r>
        <w:rPr>
          <w:bCs/>
        </w:rPr>
        <w:t>.  Each party shall be solely responsible for the costs and expenses of operating its respective Platform and Interface.</w:t>
      </w:r>
    </w:p>
    <w:p>
      <w:pPr>
        <w:pStyle w:val="BodyText"/>
        <w:ind w:firstLine="720" w:end="0"/>
        <w:jc w:val="both"/>
        <w:rPr>
          <w:i/>
          <w:i/>
          <w:iCs/>
          <w:strike/>
          <w:sz w:val="22"/>
        </w:rPr>
      </w:pPr>
      <w:r>
        <w:rPr>
          <w:bCs/>
        </w:rPr>
        <w:t>12.</w:t>
        <w:tab/>
      </w:r>
      <w:r>
        <w:rPr>
          <w:b/>
          <w:u w:val="single"/>
        </w:rPr>
        <w:t>Representations and Warranties</w:t>
      </w:r>
      <w:r>
        <w:rPr/>
        <w:t xml:space="preserve">.  Each party represents and warrants that (a) it has all necessary power and authority to execute and perform this Agreement, (b) this Agreement is its legal, valid and binding agreement, enforceable against it in accordance with its terms, and (c) neither the execution of or performance under this Agreement by it violates any law, rule, regulation or order, or any agreement, document or instrument, binding on or applicable to it.  </w:t>
      </w:r>
      <w:r>
        <w:rPr>
          <w:i/>
          <w:iCs/>
        </w:rPr>
        <w:t>[Consider other representations and warranties that may be important, keeping in mind that a breach by a party of its representations and warranties may give rise to termination of the agreement by the other party (see Section 13 below).</w:t>
      </w:r>
    </w:p>
    <w:p>
      <w:pPr>
        <w:pStyle w:val="BodyText"/>
        <w:ind w:firstLine="720" w:end="0"/>
        <w:jc w:val="both"/>
        <w:rPr/>
      </w:pPr>
      <w:r>
        <w:rPr>
          <w:bCs/>
        </w:rPr>
        <w:t>13.</w:t>
        <w:tab/>
      </w:r>
      <w:r>
        <w:rPr>
          <w:b/>
          <w:u w:val="single"/>
        </w:rPr>
        <w:t>Events of Default</w:t>
      </w:r>
      <w:r>
        <w:rPr>
          <w:b/>
        </w:rPr>
        <w:t>.</w:t>
      </w:r>
      <w:r>
        <w:rPr>
          <w:bCs/>
        </w:rPr>
        <w:t xml:space="preserve">   An “Event of Default” shall exist in the event:</w:t>
      </w:r>
    </w:p>
    <w:p>
      <w:pPr>
        <w:pStyle w:val="BodyText"/>
        <w:numPr>
          <w:ilvl w:val="0"/>
          <w:numId w:val="4"/>
        </w:numPr>
        <w:jc w:val="both"/>
        <w:rPr>
          <w:bCs/>
        </w:rPr>
      </w:pPr>
      <w:r>
        <w:rPr>
          <w:bCs/>
        </w:rPr>
        <w:t>a party shall have failed to comply with [any][specified] term or provision of this Agreement, and such failure shall have continued for a period of ___ days following notice of such failure by the other party;</w:t>
      </w:r>
    </w:p>
    <w:p>
      <w:pPr>
        <w:pStyle w:val="BodyText"/>
        <w:numPr>
          <w:ilvl w:val="0"/>
          <w:numId w:val="4"/>
        </w:numPr>
        <w:jc w:val="both"/>
        <w:rPr>
          <w:bCs/>
        </w:rPr>
      </w:pPr>
      <w:r>
        <w:rPr>
          <w:bCs/>
        </w:rPr>
        <w:t>[others, including a breach of a representation or warranty by either party]</w:t>
      </w:r>
    </w:p>
    <w:p>
      <w:pPr>
        <w:pStyle w:val="BodyText"/>
        <w:jc w:val="both"/>
        <w:rPr/>
      </w:pPr>
      <w:r>
        <w:rPr>
          <w:bCs/>
        </w:rPr>
        <w:t xml:space="preserve">In the event of an Event of Default, the defaulting party will be obligated to reimburse the non-breaching party for Technology Costs incurred by the non-breaching party in connection with providing the Interfaces contemplated by </w:t>
      </w:r>
      <w:r>
        <w:rPr>
          <w:bCs/>
          <w:u w:val="single"/>
        </w:rPr>
        <w:t>Section 5</w:t>
      </w:r>
      <w:r>
        <w:rPr>
          <w:bCs/>
        </w:rPr>
        <w:t xml:space="preserve"> </w:t>
      </w:r>
      <w:r>
        <w:rPr>
          <w:bCs/>
          <w:i/>
          <w:iCs/>
        </w:rPr>
        <w:t>(is this the non-defaulting party’s sole remedy for a breach by the other party?)</w:t>
      </w:r>
      <w:r>
        <w:rPr>
          <w:bCs/>
        </w:rPr>
        <w:t>.</w:t>
      </w:r>
    </w:p>
    <w:p>
      <w:pPr>
        <w:pStyle w:val="BodyText"/>
        <w:jc w:val="both"/>
        <w:rPr/>
      </w:pPr>
      <w:r>
        <w:rPr>
          <w:bCs/>
        </w:rPr>
        <w:tab/>
        <w:t>14.</w:t>
        <w:tab/>
      </w:r>
      <w:r>
        <w:rPr>
          <w:b/>
          <w:u w:val="single"/>
        </w:rPr>
        <w:t>Termination Events</w:t>
      </w:r>
      <w:r>
        <w:rPr>
          <w:b/>
        </w:rPr>
        <w:t xml:space="preserve">.  </w:t>
      </w:r>
      <w:r>
        <w:rPr>
          <w:bCs/>
        </w:rPr>
        <w:t>Upon the occurrence of any of the following (each, a “Termination Event”):</w:t>
      </w:r>
    </w:p>
    <w:p>
      <w:pPr>
        <w:pStyle w:val="BodyText"/>
        <w:numPr>
          <w:ilvl w:val="0"/>
          <w:numId w:val="2"/>
        </w:numPr>
        <w:jc w:val="both"/>
        <w:rPr>
          <w:bCs/>
        </w:rPr>
      </w:pPr>
      <w:r>
        <w:rPr>
          <w:bCs/>
        </w:rPr>
        <w:t>the Interface Completion Date shall have not have occurred on or before ______ (other than by reason of an Event of Default);</w:t>
      </w:r>
    </w:p>
    <w:p>
      <w:pPr>
        <w:pStyle w:val="BodyText"/>
        <w:numPr>
          <w:ilvl w:val="0"/>
          <w:numId w:val="2"/>
        </w:numPr>
        <w:jc w:val="both"/>
        <w:rPr>
          <w:bCs/>
        </w:rPr>
      </w:pPr>
      <w:r>
        <w:rPr>
          <w:bCs/>
        </w:rPr>
        <w:t>On any Annual Renewal Date, Enron shall determine in its sole discretion to terminate the Agreement;</w:t>
      </w:r>
    </w:p>
    <w:p>
      <w:pPr>
        <w:pStyle w:val="BodyText"/>
        <w:numPr>
          <w:ilvl w:val="0"/>
          <w:numId w:val="2"/>
        </w:numPr>
        <w:jc w:val="both"/>
        <w:rPr>
          <w:bCs/>
        </w:rPr>
      </w:pPr>
      <w:r>
        <w:rPr>
          <w:bCs/>
        </w:rPr>
        <w:t xml:space="preserve">On any Annual Review Date, Enron shall have failed to complete transactions with an average volume of at least ______ over the previous _______ </w:t>
      </w:r>
      <w:r>
        <w:rPr>
          <w:bCs/>
          <w:i/>
          <w:iCs/>
        </w:rPr>
        <w:t>[Enron to complete a certain volume of transactions by a specified date or it can terminate the Agreement]</w:t>
      </w:r>
      <w:r>
        <w:rPr>
          <w:bCs/>
        </w:rPr>
        <w:t>;</w:t>
      </w:r>
    </w:p>
    <w:p>
      <w:pPr>
        <w:pStyle w:val="BodyText"/>
        <w:numPr>
          <w:ilvl w:val="0"/>
          <w:numId w:val="2"/>
        </w:numPr>
        <w:jc w:val="both"/>
        <w:rPr>
          <w:bCs/>
        </w:rPr>
      </w:pPr>
      <w:r>
        <w:rPr>
          <w:bCs/>
        </w:rPr>
        <w:t>[other reasons that one or either party should be entitled to terminate this Agreement]</w:t>
      </w:r>
    </w:p>
    <w:p>
      <w:pPr>
        <w:pStyle w:val="BodyText"/>
        <w:jc w:val="both"/>
        <w:rPr/>
      </w:pPr>
      <w:r>
        <w:rPr>
          <w:bCs/>
        </w:rPr>
        <w:t xml:space="preserve">then Enron, with respect to (i), (ii), (iii) and ____, or Sponsor, with respect to (i) and ___, may terminate this Agreement upon ___ days’ written notice to the other party; </w:t>
      </w:r>
      <w:r>
        <w:rPr>
          <w:bCs/>
          <w:u w:val="single"/>
        </w:rPr>
        <w:t>provided</w:t>
      </w:r>
      <w:r>
        <w:rPr>
          <w:bCs/>
        </w:rPr>
        <w:t xml:space="preserve">, </w:t>
      </w:r>
      <w:r>
        <w:rPr>
          <w:bCs/>
          <w:u w:val="single"/>
        </w:rPr>
        <w:t>however</w:t>
      </w:r>
      <w:r>
        <w:rPr>
          <w:bCs/>
        </w:rPr>
        <w:t>, that in the event that Enron shall terminate this Agreement on an Annual Review Date, that portion of equity that Enron received from Sponsor corresponding with the Annual Renewal Date on which the Agreement is terminated shall be forfeited:</w:t>
      </w:r>
    </w:p>
    <w:p>
      <w:pPr>
        <w:pStyle w:val="BodyText"/>
        <w:jc w:val="both"/>
        <w:rPr/>
      </w:pPr>
      <w:r>
        <w:rPr>
          <w:bCs/>
        </w:rPr>
        <w:tab/>
      </w:r>
      <w:r>
        <w:rPr>
          <w:bCs/>
          <w:u w:val="single"/>
        </w:rPr>
        <w:t>Annual Renewal Date</w:t>
      </w:r>
      <w:r>
        <w:rPr>
          <w:bCs/>
        </w:rPr>
        <w:tab/>
        <w:tab/>
        <w:tab/>
        <w:tab/>
      </w:r>
      <w:r>
        <w:rPr>
          <w:bCs/>
          <w:u w:val="single"/>
        </w:rPr>
        <w:t>Portion Forfeited</w:t>
      </w:r>
    </w:p>
    <w:p>
      <w:pPr>
        <w:pStyle w:val="BodyText"/>
        <w:numPr>
          <w:ilvl w:val="0"/>
          <w:numId w:val="3"/>
        </w:numPr>
        <w:jc w:val="both"/>
        <w:rPr>
          <w:bCs/>
        </w:rPr>
      </w:pPr>
      <w:r>
        <w:rPr>
          <w:bCs/>
        </w:rPr>
        <w:t>75%</w:t>
      </w:r>
    </w:p>
    <w:p>
      <w:pPr>
        <w:pStyle w:val="BodyText"/>
        <w:numPr>
          <w:ilvl w:val="0"/>
          <w:numId w:val="3"/>
        </w:numPr>
        <w:jc w:val="both"/>
        <w:rPr>
          <w:bCs/>
        </w:rPr>
      </w:pPr>
      <w:r>
        <w:rPr>
          <w:bCs/>
        </w:rPr>
        <w:t>50%</w:t>
      </w:r>
    </w:p>
    <w:p>
      <w:pPr>
        <w:pStyle w:val="BodyText"/>
        <w:numPr>
          <w:ilvl w:val="0"/>
          <w:numId w:val="3"/>
        </w:numPr>
        <w:jc w:val="both"/>
        <w:rPr>
          <w:bCs/>
        </w:rPr>
      </w:pPr>
      <w:r>
        <w:rPr>
          <w:bCs/>
        </w:rPr>
        <w:t>25%</w:t>
      </w:r>
    </w:p>
    <w:p>
      <w:pPr>
        <w:pStyle w:val="BodyText"/>
        <w:jc w:val="both"/>
        <w:rPr>
          <w:bCs/>
        </w:rPr>
      </w:pPr>
      <w:r>
        <w:rPr>
          <w:bCs/>
        </w:rPr>
      </w:r>
    </w:p>
    <w:p>
      <w:pPr>
        <w:pStyle w:val="BodyText"/>
        <w:jc w:val="both"/>
        <w:rPr/>
      </w:pPr>
      <w:r>
        <w:rPr>
          <w:bCs/>
        </w:rPr>
        <w:t xml:space="preserve">[Otherwise, the termination will be without liability to either party </w:t>
      </w:r>
      <w:r>
        <w:rPr>
          <w:bCs/>
          <w:i/>
          <w:iCs/>
        </w:rPr>
        <w:t>[consider consequences of termination and potential liability of one party to another]</w:t>
      </w:r>
      <w:r>
        <w:rPr>
          <w:bCs/>
        </w:rPr>
        <w:t xml:space="preserve">.   </w:t>
      </w:r>
    </w:p>
    <w:p>
      <w:pPr>
        <w:pStyle w:val="BodyText"/>
        <w:jc w:val="both"/>
        <w:rPr/>
      </w:pPr>
      <w:r>
        <w:rPr>
          <w:bCs/>
        </w:rPr>
        <w:tab/>
        <w:t>15.</w:t>
        <w:tab/>
      </w:r>
      <w:r>
        <w:rPr>
          <w:b/>
          <w:u w:val="single"/>
        </w:rPr>
        <w:t>Confidentiality</w:t>
      </w:r>
      <w:r>
        <w:rPr>
          <w:b/>
        </w:rPr>
        <w:t>.</w:t>
      </w:r>
      <w:r>
        <w:rPr/>
        <w:t xml:space="preserve">  Each party acknowledges that it or its employees may, in connection with the services to be provided and other matters contemplated under this Agree</w:t>
        <w:softHyphen/>
        <w:t>ment, be exposed to or acquire information which is proprietary to or confidential to the other party, its affiliated compa</w:t>
        <w:softHyphen/>
        <w:t>nies or third parties to whom such party has a duty of confidenti</w:t>
        <w:softHyphen/>
        <w:t>ali</w:t>
        <w:softHyphen/>
        <w:t>ty.  Any and all non-public informa</w:t>
        <w:softHyphen/>
        <w:t>tion of any form obtained by such party or its employees arising out of or related to this Agreement, including but not limited to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or to use such information for any purpose whatso</w:t>
        <w:softHyphen/>
        <w:t>ev</w:t>
        <w:softHyphen/>
        <w:t>er other than as contemplated by this Agreement and to advise each of its employees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indepen</w:t>
        <w:softHyphen/>
        <w:t>dently developed by such party outside of this Agreement,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ind w:firstLine="720" w:end="0"/>
        <w:jc w:val="both"/>
        <w:rPr/>
      </w:pPr>
      <w:r>
        <w:rPr>
          <w:bCs/>
        </w:rPr>
        <w:t>16.</w:t>
        <w:tab/>
      </w:r>
      <w:r>
        <w:rPr>
          <w:b/>
          <w:u w:val="single"/>
        </w:rPr>
        <w:t>Indemnification and Limitations on Liability</w:t>
      </w:r>
      <w:r>
        <w:rPr>
          <w:b/>
        </w:rPr>
        <w:t>.</w:t>
      </w:r>
      <w:r>
        <w:rPr>
          <w:bCs/>
        </w:rPr>
        <w:t xml:space="preserve">  </w:t>
      </w:r>
    </w:p>
    <w:p>
      <w:pPr>
        <w:pStyle w:val="BodyText"/>
        <w:ind w:firstLine="720" w:end="0"/>
        <w:jc w:val="both"/>
        <w:rPr/>
      </w:pPr>
      <w:r>
        <w:rPr>
          <w:bCs/>
        </w:rPr>
        <w:t>(a)</w:t>
        <w:tab/>
      </w:r>
      <w:r>
        <w:rPr>
          <w:bCs/>
          <w:i/>
          <w:iCs/>
        </w:rPr>
        <w:t xml:space="preserve">[Consider those matters, if any, which one party should be indemnified by the other, including for breaches of representations and warranties and damages suffered by one party as a result of a breach by the other party of its contract (i.e., Sponsor indemnifies Enron for any damages Enron suffers as a result of a Participant’s claim against Enron with respect to a contract that was not entered into by Enron in accordance with Section 10).  Consider also what types of claims that one party should not be able to bring against the other party (for instance, Enron should have no liability to the Sponsor in the event that Enron does not enter into a transaction because of mismatching, credit failure, or potential violation of Enron policy. </w:t>
      </w:r>
    </w:p>
    <w:p>
      <w:pPr>
        <w:pStyle w:val="BodyText"/>
        <w:ind w:firstLine="720" w:end="0"/>
        <w:jc w:val="both"/>
        <w:rPr/>
      </w:pPr>
      <w:r>
        <w:rPr>
          <w:bCs/>
        </w:rPr>
        <w:t>(b)</w:t>
        <w:tab/>
        <w:t>N</w:t>
      </w:r>
      <w:r>
        <w:rPr/>
        <w:t xml:space="preserve">either party makes any representation or warranty hereunder, express or implied, regarding the accuracy, reliability, timeliness, completeness or performance of any systems, software, communications links or other information, property or materials, including but not limited to the Interfaces (collectively, </w:t>
      </w:r>
      <w:r>
        <w:rPr>
          <w:i/>
          <w:iCs/>
        </w:rPr>
        <w:t>“Systems”</w:t>
      </w:r>
      <w:r>
        <w:rPr/>
        <w:t>), provided by such party to the other party or to Participants, and neither party shall have any liability to the other party hereunder for the failure of, or any interruption or delay with respect to, the Systems or for any losses, damages, costs or expenses incurred by such other party as a result thereof or in connection therewith.  In no event will either party be liable to the other party hereunder for any special, indirect, incidental, punitive or consequential damages incurred in connection with the services to be provided or the obligations incurred hereunder.</w:t>
      </w:r>
    </w:p>
    <w:p>
      <w:pPr>
        <w:pStyle w:val="BodyText"/>
        <w:ind w:firstLine="720" w:end="0"/>
        <w:jc w:val="both"/>
        <w:rPr/>
      </w:pPr>
      <w:r>
        <w:rPr>
          <w:bCs/>
        </w:rPr>
        <w:t>17.</w:t>
        <w:tab/>
      </w:r>
      <w:r>
        <w:rPr>
          <w:b/>
          <w:u w:val="single"/>
        </w:rPr>
        <w:t>Notices.</w:t>
      </w:r>
      <w:r>
        <w:rPr/>
        <w:t xml:space="preserve">  All notices delivered with respect to this Agreement shall be in writing and shall be hand deliv</w:t>
        <w:softHyphen/>
        <w:t>ered or forwarded by registered or certified mail and sent to the parties hereto at the addresses set forth on the first page or to any other address subsequently specified in by a party in a written notice to the other party hereto. [electronic mail?]</w:t>
      </w:r>
    </w:p>
    <w:p>
      <w:pPr>
        <w:pStyle w:val="BodyText"/>
        <w:ind w:firstLine="720" w:end="0"/>
        <w:jc w:val="both"/>
        <w:rPr/>
      </w:pPr>
      <w:r>
        <w:rPr>
          <w:bCs/>
        </w:rPr>
        <w:t>18.</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This Agreement nor the performance hereunder shall be deemed to have created a partnership, agency agreement or joint venture.</w:t>
      </w:r>
    </w:p>
    <w:p>
      <w:pPr>
        <w:pStyle w:val="BodyText"/>
        <w:ind w:firstLine="720" w:end="0"/>
        <w:jc w:val="both"/>
        <w:rPr/>
      </w:pPr>
      <w:r>
        <w:rPr>
          <w:bCs/>
        </w:rPr>
        <w:t>19.</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r>
        <w:rPr>
          <w:b/>
          <w:u w:val="single"/>
        </w:rPr>
        <w:t xml:space="preserve"> </w:t>
      </w:r>
    </w:p>
    <w:p>
      <w:pPr>
        <w:pStyle w:val="BodyText"/>
        <w:ind w:firstLine="720" w:end="0"/>
        <w:jc w:val="both"/>
        <w:rPr/>
      </w:pPr>
      <w:r>
        <w:rPr>
          <w:bCs/>
        </w:rPr>
        <w:t>20.</w:t>
        <w:tab/>
      </w:r>
      <w:r>
        <w:rPr>
          <w:b/>
          <w:u w:val="single"/>
        </w:rPr>
        <w:t>Assignment.</w:t>
      </w:r>
      <w:r>
        <w:rPr/>
        <w:t xml:space="preserve"> This Agreement may not be assigned by either party without the other's express prior written consent.  This Agreement shall be binding upon and shall inure to the benefit of the parties and their respective succes</w:t>
        <w:softHyphen/>
        <w:t xml:space="preserve">sors and permitted assigns in accordance with its terms. Without limiting the foregoing, Sponsor’s right to post Enron’s prices on the Sponsor Platform is not assignable and may not be delegated, and Sponsor may republish, retransmit or redistribute the prices posted by Enron without Enron’s prior consent; </w:t>
      </w:r>
      <w:r>
        <w:rPr>
          <w:u w:val="single"/>
        </w:rPr>
        <w:t>provided</w:t>
      </w:r>
      <w:r>
        <w:rPr/>
        <w:t xml:space="preserve">, </w:t>
      </w:r>
      <w:r>
        <w:rPr>
          <w:u w:val="single"/>
        </w:rPr>
        <w:t>however</w:t>
      </w:r>
      <w:r>
        <w:rPr/>
        <w:t xml:space="preserve">, that  Sponsor may provide electronic data feeds that include Enron’s prices (anonymously) to Participants for the sole purpose of permitting such Participants to enhance their trading capabilities on Sponsor’s Platform.    </w:t>
      </w:r>
    </w:p>
    <w:p>
      <w:pPr>
        <w:pStyle w:val="BodyText"/>
        <w:ind w:firstLine="720" w:end="0"/>
        <w:jc w:val="both"/>
        <w:rPr/>
      </w:pPr>
      <w:r>
        <w:rPr/>
        <w:t>21.</w:t>
        <w:tab/>
      </w:r>
      <w:r>
        <w:rPr>
          <w:b/>
          <w:bCs/>
          <w:u w:val="single"/>
        </w:rPr>
        <w:t>Entire Agreement</w:t>
      </w:r>
      <w:r>
        <w:rPr>
          <w:b/>
          <w:bCs/>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 To the extent that the terms and conditions of this Agreement are inconsistent or conflict with any other agreement or understanding with the Sponsor, including but not limited to the Access Agreements, the terms of this Agreement shall govern.  </w:t>
      </w:r>
    </w:p>
    <w:p>
      <w:pPr>
        <w:pStyle w:val="BodyText"/>
        <w:ind w:firstLine="720" w:end="0"/>
        <w:jc w:val="both"/>
        <w:rPr/>
      </w:pPr>
      <w:r>
        <w:rPr>
          <w:bCs/>
        </w:rPr>
        <w:t>22.</w:t>
        <w:tab/>
      </w:r>
      <w:r>
        <w:rPr>
          <w:b/>
          <w:u w:val="single"/>
        </w:rPr>
        <w:t>Governing Law</w:t>
      </w:r>
      <w:r>
        <w:rPr>
          <w:b/>
        </w:rPr>
        <w:t xml:space="preserve">. </w:t>
      </w:r>
      <w:r>
        <w:rPr/>
        <w:t xml:space="preserve"> This Agreement is deemed entered into in New York, New York and shall be governed and construed in all respects by the laws of the State of New York, without giving effect to principles of conflict of law.  Any litigation or other dispute resolution between the parties relating to this Agreement shall take place only in New York County, New York.  The parties consent to personal jurisdiction of and venue in the state and federal courts within that county. </w:t>
      </w:r>
    </w:p>
    <w:p>
      <w:pPr>
        <w:pStyle w:val="BodyText"/>
        <w:ind w:firstLine="720" w:end="0"/>
        <w:jc w:val="both"/>
        <w:rPr/>
      </w:pPr>
      <w:r>
        <w:rPr>
          <w:bCs/>
        </w:rPr>
        <w:t>23.</w:t>
        <w:tab/>
      </w:r>
      <w:r>
        <w:rPr>
          <w:b/>
          <w:u w:val="single"/>
        </w:rPr>
        <w:t>Headings</w:t>
      </w:r>
      <w:r>
        <w:rPr>
          <w:b/>
        </w:rPr>
        <w:t xml:space="preserve">.  </w:t>
      </w:r>
      <w:r>
        <w:rPr/>
        <w:t>The headings in this Agreement are intended for convenience of reference and shall not affect its interpreta</w:t>
        <w:softHyphen/>
        <w:t>tion.</w:t>
      </w:r>
    </w:p>
    <w:p>
      <w:pPr>
        <w:pStyle w:val="BodyText"/>
        <w:ind w:firstLine="720" w:end="0"/>
        <w:jc w:val="both"/>
        <w:rPr/>
      </w:pPr>
      <w:r>
        <w:rPr>
          <w:bCs/>
        </w:rPr>
        <w:t>24.</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ind w:firstLine="720" w:end="0"/>
        <w:jc w:val="both"/>
        <w:rPr/>
      </w:pPr>
      <w:r>
        <w:rPr>
          <w:bCs/>
        </w:rPr>
        <w:t>25.</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ind w:firstLine="720" w:end="0"/>
        <w:jc w:val="both"/>
        <w:rPr/>
      </w:pPr>
      <w:r>
        <w:rPr/>
        <w:t>IN WITNESS WHEREOF, the parties have executed this Agreement as of the date first above written.</w:t>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sz w:val="22"/>
          <w:u w:val="single"/>
        </w:rPr>
      </w:pPr>
      <w:r>
        <w:rPr>
          <w:sz w:val="22"/>
          <w:u w:val="single"/>
        </w:rPr>
      </w:r>
    </w:p>
    <w:p>
      <w:pPr>
        <w:pStyle w:val="BodyText"/>
        <w:ind w:firstLine="720" w:end="0"/>
        <w:jc w:val="both"/>
        <w:rPr>
          <w:sz w:val="22"/>
          <w:u w:val="single"/>
        </w:rPr>
      </w:pPr>
      <w:r>
        <w:rPr>
          <w:sz w:val="22"/>
          <w:u w:val="single"/>
        </w:rPr>
      </w:r>
    </w:p>
    <w:p>
      <w:pPr>
        <w:pStyle w:val="BodyText"/>
        <w:ind w:firstLine="720" w:end="0"/>
        <w:jc w:val="both"/>
        <w:rPr/>
      </w:pPr>
      <w:r>
        <w:rPr/>
      </w:r>
    </w:p>
    <w:p>
      <w:pPr>
        <w:pStyle w:val="BodyText"/>
        <w:ind w:firstLine="720" w:end="0"/>
        <w:jc w:val="both"/>
        <w:rPr/>
      </w:pPr>
      <w:r>
        <w:rPr/>
      </w:r>
    </w:p>
    <w:p>
      <w:pPr>
        <w:pStyle w:val="BodyText"/>
        <w:ind w:firstLine="720" w:end="0"/>
        <w:jc w:val="both"/>
        <w:rPr>
          <w:strike/>
          <w:sz w:val="22"/>
        </w:rPr>
      </w:pPr>
      <w:r>
        <w:rPr>
          <w:strike/>
          <w:sz w:val="22"/>
        </w:rPr>
      </w:r>
    </w:p>
    <w:p>
      <w:pPr>
        <w:pStyle w:val="Normal"/>
        <w:rPr>
          <w:strike/>
          <w:sz w:val="22"/>
        </w:rPr>
      </w:pPr>
      <w:r>
        <w:rPr>
          <w:strike/>
          <w:sz w:val="22"/>
        </w:rPr>
      </w:r>
    </w:p>
    <w:p>
      <w:pPr>
        <w:pStyle w:val="Normal"/>
        <w:autoSpaceDE w:val="false"/>
        <w:spacing w:lineRule="atLeast" w:line="240"/>
        <w:rPr>
          <w:rFonts w:ascii="Tms Rmn" w:hAnsi="Tms Rmn" w:cs="Tms Rmn"/>
          <w:sz w:val="20"/>
          <w:szCs w:val="24"/>
        </w:rPr>
      </w:pPr>
      <w:r>
        <w:rPr>
          <w:rFonts w:cs="Tms Rmn" w:ascii="Tms Rmn" w:hAnsi="Tms Rmn"/>
          <w:sz w:val="20"/>
          <w:szCs w:val="24"/>
        </w:rPr>
      </w:r>
    </w:p>
    <w:p>
      <w:pPr>
        <w:pStyle w:val="Normal"/>
        <w:autoSpaceDE w:val="false"/>
        <w:spacing w:lineRule="atLeast" w:line="240"/>
        <w:rPr>
          <w:rFonts w:ascii="Helv" w:hAnsi="Helv" w:cs="Helv"/>
          <w:color w:val="000000"/>
          <w:sz w:val="20"/>
          <w:szCs w:val="24"/>
        </w:rPr>
      </w:pPr>
      <w:r>
        <w:rPr>
          <w:rFonts w:cs="Helv" w:ascii="Helv" w:hAnsi="Helv"/>
          <w:color w:val="000000"/>
          <w:sz w:val="20"/>
          <w:szCs w:val="24"/>
        </w:rPr>
      </w:r>
    </w:p>
    <w:p>
      <w:pPr>
        <w:pStyle w:val="Normal"/>
        <w:autoSpaceDE w:val="false"/>
        <w:spacing w:lineRule="atLeast" w:line="240"/>
        <w:rPr>
          <w:rFonts w:ascii="Helv" w:hAnsi="Helv" w:cs="Helv"/>
          <w:color w:val="000000"/>
          <w:sz w:val="20"/>
        </w:rPr>
      </w:pPr>
      <w:r>
        <w:rPr>
          <w:rFonts w:cs="Helv" w:ascii="Helv" w:hAnsi="Helv"/>
          <w:color w:val="000000"/>
          <w:sz w:val="20"/>
        </w:rPr>
      </w:r>
    </w:p>
    <w:p>
      <w:pPr>
        <w:pStyle w:val="Normal"/>
        <w:autoSpaceDE w:val="false"/>
        <w:spacing w:lineRule="atLeast" w:line="240"/>
        <w:rPr>
          <w:rFonts w:ascii="Helv" w:hAnsi="Helv" w:eastAsia="Helv" w:cs="Helv"/>
          <w:color w:val="000000"/>
          <w:sz w:val="20"/>
        </w:rPr>
      </w:pPr>
      <w:r>
        <w:rPr>
          <w:rFonts w:eastAsia="Helv" w:cs="Helv" w:ascii="Helv" w:hAnsi="Helv"/>
          <w:color w:val="000000"/>
          <w:sz w:val="20"/>
        </w:rPr>
        <w:t xml:space="preserve"> </w:t>
      </w:r>
    </w:p>
    <w:p>
      <w:pPr>
        <w:pStyle w:val="Normal"/>
        <w:autoSpaceDE w:val="false"/>
        <w:spacing w:lineRule="atLeast" w:line="240"/>
        <w:rPr>
          <w:rFonts w:ascii="Helv" w:hAnsi="Helv" w:cs="Helv"/>
          <w:color w:val="000000"/>
          <w:sz w:val="20"/>
        </w:rPr>
      </w:pPr>
      <w:r>
        <w:rPr>
          <w:rFonts w:cs="Helv" w:ascii="Helv" w:hAnsi="Helv"/>
          <w:color w:val="000000"/>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SG LucidaT">
    <w:charset w:val="00" w:characterSet="windows-1252"/>
    <w:family w:val="auto"/>
    <w:pitch w:val="default"/>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rFonts w:ascii="Arial" w:hAnsi="Arial" w:cs="Arial"/>
        <w:sz w:val="18"/>
      </w:rPr>
    </w:pPr>
    <w:r>
      <w:rPr>
        <w:rFonts w:cs="Arial" w:ascii="Arial" w:hAnsi="Arial"/>
        <w:sz w:val="18"/>
      </w:rPr>
      <w:t>NY12533:118406.3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r>
  </w:p>
  <w:p>
    <w:pPr>
      <w:pStyle w:val="Header"/>
      <w:jc w:val="end"/>
      <w:rPr>
        <w:rFonts w:ascii="Arial" w:hAnsi="Arial" w:cs="Arial"/>
        <w:sz w:val="18"/>
      </w:rPr>
    </w:pPr>
    <w:r>
      <w:rPr>
        <w:rFonts w:cs="Arial" w:ascii="Arial" w:hAnsi="Arial"/>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t>Draft of June 12, 2000</w:t>
    </w:r>
  </w:p>
  <w:p>
    <w:pPr>
      <w:pStyle w:val="Header"/>
      <w:jc w:val="end"/>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2001"/>
      <w:numFmt w:val="decimal"/>
      <w:lvlText w:val="%1"/>
      <w:lvlJc w:val="start"/>
      <w:pPr>
        <w:tabs>
          <w:tab w:val="num" w:pos="5760"/>
        </w:tabs>
        <w:ind w:start="5760" w:hanging="432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2z0">
    <w:name w:val="WW8Num2z0"/>
    <w:qFormat/>
    <w:rPr/>
  </w:style>
  <w:style w:type="character" w:styleId="WW8Num3z0">
    <w:name w:val="WW8Num3z0"/>
    <w:qFormat/>
    <w:rPr/>
  </w:style>
  <w:style w:type="character" w:styleId="WW8Num3z2">
    <w:name w:val="WW8Num3z2"/>
    <w:qFormat/>
    <w:rPr>
      <w:u w:val="non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BodyTextIndent2">
    <w:name w:val="Body Text Indent 2"/>
    <w:basedOn w:val="Normal"/>
    <w:qFormat/>
    <w:pPr>
      <w:tabs>
        <w:tab w:val="clear" w:pos="720"/>
        <w:tab w:val="left" w:pos="0" w:leader="none"/>
      </w:tabs>
      <w:spacing w:before="0" w:after="240"/>
      <w:ind w:hanging="0" w:start="720" w:end="0"/>
      <w:jc w:val="both"/>
    </w:pPr>
    <w:rPr>
      <w:rFonts w:ascii="Arial" w:hAnsi="Arial" w:cs="Arial"/>
      <w:sz w:val="22"/>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2000-06-13T02:08:00Z</dcterms:created>
  <dc:creator>For Help Call PC Support, x4277</dc:creator>
  <dc:description/>
  <dc:language>en-CA</dc:language>
  <cp:lastModifiedBy>Travis McCullough</cp:lastModifiedBy>
  <cp:lastPrinted>2000-06-09T16:54:00Z</cp:lastPrinted>
  <dcterms:modified xsi:type="dcterms:W3CDTF">2000-06-13T04:10:00Z</dcterms:modified>
  <cp:revision>6</cp:revision>
  <dc:subject/>
  <dc:title>NA Version 2 - November 27, 1999</dc:title>
</cp:coreProperties>
</file>