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lang w:val="es-MX"/>
        </w:rPr>
      </w:pPr>
      <w:r>
        <w:rPr>
          <w:lang w:val="es-MX"/>
        </w:rPr>
      </w:r>
    </w:p>
    <w:p>
      <w:pPr>
        <w:pStyle w:val="Normal"/>
        <w:rPr>
          <w:lang w:val="es-MX"/>
        </w:rPr>
      </w:pPr>
      <w:r>
        <w:rPr>
          <w:lang w:val="es-MX"/>
        </w:rPr>
      </w:r>
    </w:p>
    <w:p>
      <w:pPr>
        <w:pStyle w:val="Heading1"/>
        <w:ind w:hanging="0" w:start="0"/>
        <w:rPr/>
      </w:pPr>
      <w:r>
        <w:rPr/>
        <w:t>Enron Online</w:t>
      </w:r>
    </w:p>
    <w:p>
      <w:pPr>
        <w:pStyle w:val="Normal"/>
        <w:rPr/>
      </w:pPr>
      <w:r>
        <w:rPr/>
      </w:r>
    </w:p>
    <w:p>
      <w:pPr>
        <w:pStyle w:val="Heading2"/>
        <w:ind w:hanging="0" w:start="0"/>
        <w:rPr/>
      </w:pPr>
      <w:r>
        <w:rPr/>
        <w:t>Foreign Exchange Par Forward Transactions</w:t>
      </w:r>
    </w:p>
    <w:p>
      <w:pPr>
        <w:pStyle w:val="Normal"/>
        <w:rPr>
          <w:b/>
          <w:color w:val="000000"/>
          <w:sz w:val="22"/>
        </w:rPr>
      </w:pPr>
      <w:r>
        <w:rPr>
          <w:b/>
          <w:color w:val="000000"/>
          <w:sz w:val="22"/>
        </w:rPr>
      </w:r>
    </w:p>
    <w:p>
      <w:pPr>
        <w:pStyle w:val="BodyText"/>
        <w:rPr/>
      </w:pPr>
      <w:r>
        <w:rPr/>
        <w:t xml:space="preserve">Enron Global Markets now offers Foreign Exchange Par Forwards and Outright Forwards to hedge against adverse USD/CAD currency movements. These transactions allow customers to lock in a particular currency rate for their Canadian gas transactions which settle to the NYMEX contract. These currency transactions hedge standard gas settlement periods and financially settle against the Bank of Canada noon rate on the first business day of each month, recognizing standard banking holidays. If the settlement currency rate is different than the rate specified in the transaction, then a payment is made.   </w:t>
      </w:r>
    </w:p>
    <w:p>
      <w:pPr>
        <w:pStyle w:val="Normal"/>
        <w:rPr>
          <w:color w:val="000000"/>
        </w:rPr>
      </w:pPr>
      <w:r>
        <w:rPr>
          <w:color w:val="000000"/>
        </w:rPr>
      </w:r>
    </w:p>
    <w:p>
      <w:pPr>
        <w:pStyle w:val="Normal"/>
        <w:rPr/>
      </w:pPr>
      <w:r>
        <w:rPr>
          <w:b/>
          <w:color w:val="000000"/>
        </w:rPr>
        <w:t>Example</w:t>
      </w:r>
      <w:r>
        <w:rPr>
          <w:color w:val="000000"/>
        </w:rPr>
        <w:t>:</w:t>
      </w:r>
    </w:p>
    <w:p>
      <w:pPr>
        <w:pStyle w:val="Normal"/>
        <w:rPr/>
      </w:pPr>
      <w:r>
        <w:rPr/>
        <w:t>ABC Corp purchases $50,000,000 USD at 1.5350 for the Nov 01 - Mar 02 period. On the first business day of each month, $10,000,000 USD will settle against the Bank of Canada noon rate. If the Bank of Canada rate on November 1 is 1.5530, then Enron pays 180,000 CAD to ABC. However, if the rate is 1.5230, then ABC pays 120,000 CAD to Enron. This same settlement process will occur for the four remaining months of the swap.</w:t>
      </w:r>
    </w:p>
    <w:p>
      <w:pPr>
        <w:pStyle w:val="Normal"/>
        <w:rPr/>
      </w:pPr>
      <w:r>
        <w:rPr/>
      </w:r>
    </w:p>
    <w:p>
      <w:pPr>
        <w:pStyle w:val="Normal"/>
        <w:rPr/>
      </w:pPr>
      <w:r>
        <w:rPr/>
        <w:t>Par Forwards for Apr-Oct and Nov-Mar, and Outright Forwards for the 1</w:t>
      </w:r>
      <w:r>
        <w:rPr>
          <w:vertAlign w:val="superscript"/>
        </w:rPr>
        <w:t>st</w:t>
      </w:r>
      <w:r>
        <w:rPr/>
        <w:t xml:space="preserve"> workday of the next two months will be traded on EnronOnline on a real-time basis. If you are interested in these products or have a need for different time periods or settlement conventions, please call us at (713) 853-1507. For all other questions, please contact the EnronOnline Help Desk at (713) 853-4357.</w:t>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sectPr>
      <w:type w:val="nextPage"/>
      <w:pgSz w:w="12240" w:h="15840"/>
      <w:pgMar w:left="1080" w:right="162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color w:val="000000"/>
      <w:sz w:val="28"/>
    </w:rPr>
  </w:style>
  <w:style w:type="paragraph" w:styleId="Heading2">
    <w:name w:val="heading 2"/>
    <w:basedOn w:val="Normal"/>
    <w:next w:val="Normal"/>
    <w:qFormat/>
    <w:pPr>
      <w:keepNext w:val="true"/>
      <w:numPr>
        <w:ilvl w:val="1"/>
        <w:numId w:val="1"/>
      </w:numPr>
      <w:outlineLvl w:val="1"/>
    </w:pPr>
    <w:rPr>
      <w:b/>
      <w:color w:val="FF0000"/>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2001-05-02T13:19:00Z</dcterms:created>
  <dc:creator>wstuart</dc:creator>
  <dc:description/>
  <dc:language>en-CA</dc:language>
  <cp:lastModifiedBy>wstuart</cp:lastModifiedBy>
  <cp:lastPrinted>2001-05-02T09:41:00Z</cp:lastPrinted>
  <dcterms:modified xsi:type="dcterms:W3CDTF">2001-05-02T13:19:00Z</dcterms:modified>
  <cp:revision>2</cp:revision>
  <dc:subject/>
  <dc:title>Enron Online</dc:title>
</cp:coreProperties>
</file>