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W-TitleC"/>
        <w:keepNext w:val="false"/>
        <w:spacing w:lineRule="exact" w:line="480"/>
        <w:rPr>
          <w:b/>
          <w:sz w:val="28"/>
        </w:rPr>
      </w:pPr>
      <w:r>
        <w:rPr>
          <w:b/>
          <w:sz w:val="28"/>
        </w:rPr>
        <w:t>BEFORE THE ARIZONA CORPORATION COMMISSION</w:t>
      </w:r>
    </w:p>
    <w:p>
      <w:pPr>
        <w:pStyle w:val="Normal"/>
        <w:spacing w:lineRule="exact" w:line="240"/>
        <w:rPr>
          <w:b/>
          <w:sz w:val="28"/>
        </w:rPr>
      </w:pPr>
      <w:r>
        <w:rPr>
          <w:b/>
          <w:sz w:val="28"/>
        </w:rPr>
      </w:r>
    </w:p>
    <w:p>
      <w:pPr>
        <w:pStyle w:val="Normal"/>
        <w:spacing w:lineRule="exact" w:line="240"/>
        <w:rPr/>
      </w:pPr>
      <w:r>
        <w:rPr/>
        <w:t>WILLIAM A. MUNDELL</w:t>
      </w:r>
    </w:p>
    <w:p>
      <w:pPr>
        <w:pStyle w:val="Normal"/>
        <w:spacing w:lineRule="exact" w:line="240"/>
        <w:rPr/>
      </w:pPr>
      <w:r>
        <w:rPr/>
        <w:tab/>
        <w:t>Chairman</w:t>
      </w:r>
    </w:p>
    <w:p>
      <w:pPr>
        <w:pStyle w:val="Normal"/>
        <w:spacing w:lineRule="exact" w:line="240"/>
        <w:rPr/>
      </w:pPr>
      <w:r>
        <w:rPr/>
      </w:r>
    </w:p>
    <w:p>
      <w:pPr>
        <w:pStyle w:val="Normal"/>
        <w:spacing w:lineRule="exact" w:line="240"/>
        <w:rPr/>
      </w:pPr>
      <w:r>
        <w:rPr/>
        <w:t>JIM IRVIN</w:t>
      </w:r>
    </w:p>
    <w:p>
      <w:pPr>
        <w:pStyle w:val="Normal"/>
        <w:spacing w:lineRule="exact" w:line="240"/>
        <w:rPr/>
      </w:pPr>
      <w:r>
        <w:rPr/>
        <w:tab/>
        <w:t>Commissioner</w:t>
      </w:r>
    </w:p>
    <w:p>
      <w:pPr>
        <w:pStyle w:val="Normal"/>
        <w:spacing w:lineRule="exact" w:line="240"/>
        <w:rPr/>
      </w:pPr>
      <w:r>
        <w:rPr/>
      </w:r>
    </w:p>
    <w:p>
      <w:pPr>
        <w:pStyle w:val="Normal"/>
        <w:spacing w:lineRule="exact" w:line="240"/>
        <w:rPr/>
      </w:pPr>
      <w:r>
        <w:rPr/>
        <w:t>MARC SPITZER</w:t>
      </w:r>
    </w:p>
    <w:p>
      <w:pPr>
        <w:pStyle w:val="Normal"/>
        <w:spacing w:lineRule="exact" w:line="240"/>
        <w:rPr/>
      </w:pPr>
      <w:r>
        <w:rPr/>
        <w:tab/>
        <w:t>Commissioner</w:t>
      </w:r>
    </w:p>
    <w:p>
      <w:pPr>
        <w:pStyle w:val="Normal"/>
        <w:spacing w:lineRule="exact" w:line="240"/>
        <w:rPr/>
      </w:pPr>
      <w:r>
        <w:rPr/>
      </w:r>
    </w:p>
    <w:tbl>
      <w:tblPr>
        <w:tblW w:w="9645" w:type="dxa"/>
        <w:jc w:val="start"/>
        <w:tblInd w:w="0" w:type="dxa"/>
        <w:tblLayout w:type="fixed"/>
        <w:tblCellMar>
          <w:top w:w="0" w:type="dxa"/>
          <w:start w:w="108" w:type="dxa"/>
          <w:bottom w:w="0" w:type="dxa"/>
          <w:end w:w="108" w:type="dxa"/>
        </w:tblCellMar>
      </w:tblPr>
      <w:tblGrid>
        <w:gridCol w:w="5328"/>
        <w:gridCol w:w="4317"/>
      </w:tblGrid>
      <w:tr>
        <w:trPr>
          <w:trHeight w:val="2044" w:hRule="atLeast"/>
        </w:trPr>
        <w:tc>
          <w:tcPr>
            <w:tcW w:w="5328" w:type="dxa"/>
            <w:tcBorders>
              <w:bottom w:val="single" w:sz="4" w:space="0" w:color="000000"/>
              <w:end w:val="single" w:sz="4" w:space="0" w:color="000000"/>
            </w:tcBorders>
          </w:tcPr>
          <w:p>
            <w:pPr>
              <w:pStyle w:val="Normal"/>
              <w:snapToGrid w:val="false"/>
              <w:spacing w:lineRule="exact" w:line="240"/>
              <w:rPr/>
            </w:pPr>
            <w:r>
              <w:rPr/>
            </w:r>
          </w:p>
          <w:p>
            <w:pPr>
              <w:pStyle w:val="Normal"/>
              <w:spacing w:lineRule="exact" w:line="240"/>
              <w:rPr/>
            </w:pPr>
            <w:r>
              <w:rPr/>
              <w:t>IN THE MATTER OF THE APPLICATION OF SOUTHWEST GAS CORPORATION, FOR A HEARING TO DETERMINE THE EARNINGS OF THE COMPANY, THE FAIR VALUE OF THE COMPANY FOR RATEMAKING PURPOSES, TO FIX A JUST AND REASONABLE RATE OF RETURN THEREON AND TO APPROVE RATE SCHEDULES.</w:t>
            </w:r>
          </w:p>
          <w:p>
            <w:pPr>
              <w:pStyle w:val="Normal"/>
              <w:spacing w:lineRule="exact" w:line="240"/>
              <w:rPr/>
            </w:pPr>
            <w:r>
              <w:rPr/>
              <w:t>_________________________________________</w:t>
            </w:r>
          </w:p>
        </w:tc>
        <w:tc>
          <w:tcPr>
            <w:tcW w:w="4317" w:type="dxa"/>
            <w:tcBorders>
              <w:start w:val="single" w:sz="4" w:space="0" w:color="000000"/>
            </w:tcBorders>
          </w:tcPr>
          <w:p>
            <w:pPr>
              <w:pStyle w:val="Normal"/>
              <w:snapToGrid w:val="false"/>
              <w:spacing w:lineRule="exact" w:line="240"/>
              <w:rPr>
                <w:b/>
              </w:rPr>
            </w:pPr>
            <w:r>
              <w:rPr>
                <w:b/>
              </w:rPr>
            </w:r>
          </w:p>
          <w:p>
            <w:pPr>
              <w:pStyle w:val="Normal"/>
              <w:spacing w:lineRule="exact" w:line="240"/>
              <w:rPr>
                <w:b/>
              </w:rPr>
            </w:pPr>
            <w:r>
              <w:rPr>
                <w:b/>
              </w:rPr>
              <w:t>DOCKET NO. G-01551A-00-0309</w:t>
            </w:r>
          </w:p>
          <w:p>
            <w:pPr>
              <w:pStyle w:val="Normal"/>
              <w:spacing w:lineRule="exact" w:line="240"/>
              <w:rPr>
                <w:b/>
              </w:rPr>
            </w:pPr>
            <w:r>
              <w:rPr>
                <w:b/>
              </w:rPr>
            </w:r>
          </w:p>
          <w:p>
            <w:pPr>
              <w:pStyle w:val="Normal"/>
              <w:spacing w:lineRule="exact" w:line="240"/>
              <w:rPr>
                <w:b/>
              </w:rPr>
            </w:pPr>
            <w:r>
              <w:rPr>
                <w:b/>
              </w:rPr>
            </w:r>
          </w:p>
        </w:tc>
      </w:tr>
      <w:tr>
        <w:trPr>
          <w:trHeight w:val="2044" w:hRule="atLeast"/>
        </w:trPr>
        <w:tc>
          <w:tcPr>
            <w:tcW w:w="5328" w:type="dxa"/>
            <w:tcBorders>
              <w:top w:val="single" w:sz="4" w:space="0" w:color="000000"/>
              <w:bottom w:val="single" w:sz="4" w:space="0" w:color="000000"/>
              <w:end w:val="single" w:sz="4" w:space="0" w:color="000000"/>
            </w:tcBorders>
          </w:tcPr>
          <w:p>
            <w:pPr>
              <w:pStyle w:val="Normal"/>
              <w:snapToGrid w:val="false"/>
              <w:spacing w:lineRule="exact" w:line="240"/>
              <w:rPr/>
            </w:pPr>
            <w:r>
              <w:rPr/>
            </w:r>
          </w:p>
          <w:p>
            <w:pPr>
              <w:pStyle w:val="Normal"/>
              <w:spacing w:lineRule="exact" w:line="240"/>
              <w:rPr/>
            </w:pPr>
            <w:r>
              <w:rPr/>
              <w:t>LAWRENCE N. SPITZ, ET AL.,</w:t>
            </w:r>
          </w:p>
          <w:p>
            <w:pPr>
              <w:pStyle w:val="Normal"/>
              <w:spacing w:lineRule="exact" w:line="240"/>
              <w:ind w:start="1440" w:end="0"/>
              <w:rPr/>
            </w:pPr>
            <w:r>
              <w:rPr/>
            </w:r>
          </w:p>
          <w:p>
            <w:pPr>
              <w:pStyle w:val="Normal"/>
              <w:spacing w:lineRule="exact" w:line="240"/>
              <w:ind w:start="720" w:end="0"/>
              <w:rPr/>
            </w:pPr>
            <w:r>
              <w:rPr/>
              <w:t>COMPLAINANTS,</w:t>
            </w:r>
          </w:p>
          <w:p>
            <w:pPr>
              <w:pStyle w:val="Normal"/>
              <w:spacing w:lineRule="exact" w:line="240"/>
              <w:rPr/>
            </w:pPr>
            <w:r>
              <w:rPr/>
              <w:t xml:space="preserve">     </w:t>
            </w:r>
            <w:r>
              <w:rPr/>
              <w:t>vs.</w:t>
            </w:r>
          </w:p>
          <w:p>
            <w:pPr>
              <w:pStyle w:val="Normal"/>
              <w:spacing w:lineRule="exact" w:line="240"/>
              <w:rPr/>
            </w:pPr>
            <w:r>
              <w:rPr/>
            </w:r>
          </w:p>
          <w:p>
            <w:pPr>
              <w:pStyle w:val="Normal"/>
              <w:spacing w:lineRule="exact" w:line="240"/>
              <w:rPr/>
            </w:pPr>
            <w:r>
              <w:rPr/>
              <w:t>SOUTHWEST GAS CORPORATION,</w:t>
            </w:r>
          </w:p>
          <w:p>
            <w:pPr>
              <w:pStyle w:val="Normal"/>
              <w:spacing w:lineRule="exact" w:line="240"/>
              <w:rPr/>
            </w:pPr>
            <w:r>
              <w:rPr/>
            </w:r>
          </w:p>
          <w:p>
            <w:pPr>
              <w:pStyle w:val="Normal"/>
              <w:spacing w:lineRule="exact" w:line="240"/>
              <w:ind w:start="720" w:end="0"/>
              <w:rPr/>
            </w:pPr>
            <w:r>
              <w:rPr/>
              <w:t>RESPONDENT.</w:t>
            </w:r>
          </w:p>
          <w:p>
            <w:pPr>
              <w:pStyle w:val="Normal"/>
              <w:spacing w:lineRule="exact" w:line="240"/>
              <w:ind w:start="720" w:end="0"/>
              <w:rPr/>
            </w:pPr>
            <w:r>
              <w:rPr/>
            </w:r>
          </w:p>
        </w:tc>
        <w:tc>
          <w:tcPr>
            <w:tcW w:w="4317" w:type="dxa"/>
            <w:tcBorders>
              <w:start w:val="single" w:sz="4" w:space="0" w:color="000000"/>
            </w:tcBorders>
          </w:tcPr>
          <w:p>
            <w:pPr>
              <w:pStyle w:val="Normal"/>
              <w:snapToGrid w:val="false"/>
              <w:spacing w:lineRule="exact" w:line="240"/>
              <w:rPr>
                <w:b/>
              </w:rPr>
            </w:pPr>
            <w:r>
              <w:rPr>
                <w:b/>
              </w:rPr>
            </w:r>
          </w:p>
          <w:p>
            <w:pPr>
              <w:pStyle w:val="Normal"/>
              <w:spacing w:lineRule="exact" w:line="240"/>
              <w:rPr>
                <w:b/>
              </w:rPr>
            </w:pPr>
            <w:r>
              <w:rPr>
                <w:b/>
              </w:rPr>
              <w:t>DOCKET NO. G-01551A-00-0127</w:t>
            </w:r>
          </w:p>
        </w:tc>
      </w:tr>
    </w:tbl>
    <w:p>
      <w:pPr>
        <w:pStyle w:val="Normal"/>
        <w:spacing w:lineRule="exact" w:line="240" w:before="0" w:after="120"/>
        <w:rPr>
          <w:b/>
        </w:rPr>
      </w:pPr>
      <w:r>
        <w:rPr>
          <w:b/>
        </w:rPr>
      </w:r>
    </w:p>
    <w:p>
      <w:pPr>
        <w:pStyle w:val="Normal"/>
        <w:spacing w:lineRule="exact" w:line="240"/>
        <w:jc w:val="center"/>
        <w:rPr>
          <w:b/>
        </w:rPr>
      </w:pPr>
      <w:r>
        <w:rPr>
          <w:b/>
        </w:rPr>
        <w:t xml:space="preserve">POST-HEARING BRIEF </w:t>
      </w:r>
    </w:p>
    <w:p>
      <w:pPr>
        <w:pStyle w:val="Normal"/>
        <w:spacing w:lineRule="exact" w:line="240"/>
        <w:jc w:val="center"/>
        <w:rPr>
          <w:b/>
        </w:rPr>
      </w:pPr>
      <w:r>
        <w:rPr>
          <w:b/>
        </w:rPr>
        <w:t xml:space="preserve">OF </w:t>
      </w:r>
    </w:p>
    <w:p>
      <w:pPr>
        <w:pStyle w:val="Normal"/>
        <w:spacing w:lineRule="exact" w:line="240"/>
        <w:jc w:val="center"/>
        <w:rPr>
          <w:b/>
        </w:rPr>
      </w:pPr>
      <w:r>
        <w:rPr>
          <w:b/>
        </w:rPr>
        <w:t xml:space="preserve">ENRON ENERGY SERVICES, INC., AND MIDWEST UNITED ENERGY, L.L.C.  </w:t>
      </w:r>
    </w:p>
    <w:p>
      <w:pPr>
        <w:pStyle w:val="SW-BdDblSp1"/>
        <w:widowControl w:val="false"/>
        <w:spacing w:lineRule="exact" w:line="480" w:before="100" w:after="0"/>
        <w:ind w:hanging="0" w:end="0"/>
        <w:jc w:val="both"/>
        <w:rPr/>
      </w:pPr>
      <w:r>
        <w:rPr/>
        <w:tab/>
        <w:t>Enron Energy Services, Inc. (“Enron”), and Midwest United Energy, L.L.C. (“Midwest”), hereby submit to the Arizona Corporation Commission (“Commission”) their Post-Hearing Brief in the above matter.  This filing is pursuant to the directive of the Presiding Administrative Law Judge (“ALJ”) dated July 31, 2001.  As suggested by the ALJ, Enron and Midwest will not attempt to repeat all the testimony presented at hearing.  Rather, they will explain the gas transportation problem (including Southwest Gas Corporation’s [“Southwest”] improper interpretation of the transportation imbalance “cash-out” provision in Schedule T-1) , summarize their positions on the problem, and provide a choice of alternative solutions to the problem for the Commission’s consideration.</w:t>
      </w:r>
    </w:p>
    <w:p>
      <w:pPr>
        <w:pStyle w:val="SW-BdDblSp1"/>
        <w:widowControl w:val="false"/>
        <w:spacing w:lineRule="exact" w:line="480"/>
        <w:ind w:hanging="0" w:end="0"/>
        <w:jc w:val="center"/>
        <w:rPr>
          <w:b/>
          <w:i/>
          <w:i/>
        </w:rPr>
      </w:pPr>
      <w:r>
        <w:rPr>
          <w:b/>
          <w:i/>
        </w:rPr>
        <w:t>INTRODUCTION AND BACKGROUND</w:t>
      </w:r>
    </w:p>
    <w:p>
      <w:pPr>
        <w:pStyle w:val="SW-BdDblSp1"/>
        <w:widowControl w:val="false"/>
        <w:spacing w:lineRule="exact" w:line="480"/>
        <w:ind w:hanging="0" w:end="0"/>
        <w:jc w:val="both"/>
        <w:rPr/>
      </w:pPr>
      <w:r>
        <w:rPr/>
        <w:tab/>
        <w:t>It is impossible to appreciate the predicament in which shippers such as Enron and their end-use customers find themselves without a basic understanding of the history, nature, and extent of the problem.  Enron and Midwest therefore ask the Commission’s indulgence for a somewhat extended but necessary discussion of the circumstances prompting their reluctant participation in this docket.</w:t>
      </w:r>
    </w:p>
    <w:p>
      <w:pPr>
        <w:pStyle w:val="SW-BdDblSp1"/>
        <w:widowControl w:val="false"/>
        <w:spacing w:lineRule="exact" w:line="480"/>
        <w:ind w:hanging="0" w:end="0"/>
        <w:jc w:val="both"/>
        <w:rPr/>
      </w:pPr>
      <w:r>
        <w:rPr/>
        <w:tab/>
        <w:t xml:space="preserve">Both Enron and Midwest were permitted late intervention in this proceeding because the issues they needed to bring before the Commission had not emerged prior to the original deadline for intervention.  Enron, in particular, then tried to seek solutions to these issues outside the present Southwest  rate case.  It met with Commission Staff and Southwest in December of 2000, and after exchanges of correspondence, again with Southwest in April of 2001.  These attempts bore no fruit, thus prompting their request for intervention, but even then, only after the Commission’s rejection of the Southwest rate settlement. </w:t>
      </w:r>
      <w:r>
        <w:rPr>
          <w:rStyle w:val="FootnoteCharacters"/>
          <w:rStyle w:val="FootnoteReference"/>
        </w:rPr>
        <w:footnoteReference w:id="2"/>
      </w:r>
      <w:r>
        <w:rPr/>
        <w:t xml:space="preserve"> </w:t>
      </w:r>
    </w:p>
    <w:p>
      <w:pPr>
        <w:pStyle w:val="SW-BdDblSp1"/>
        <w:widowControl w:val="false"/>
        <w:spacing w:lineRule="exact" w:line="480"/>
        <w:ind w:hanging="0" w:end="0"/>
        <w:jc w:val="both"/>
        <w:rPr/>
      </w:pPr>
      <w:r>
        <w:rPr/>
        <w:tab/>
        <w:t xml:space="preserve">Beginning late last fall, Enron and other gas shippers having competitive direct access gas transportation customers within the Southwest service area (and served through Southwest points of delivery) began to experience severe and often total  “contractual curtailments” on the El Paso Natural Gas Company (“EPNG”) system upstream from Southwest.  In other words, Enron and Midwest tendered schedules for sufficient quantities of gas to EPNG for transport to Southwest and hence to all their end-use customers having delivery points on the Southwest system, but nothing showed up at these delivery points despite the fact that Enron and Midwest (or their customers) had firm transportation rights on both the EPNG and Southwest systems.  EPNG determined that they would not schedule any third-party nominations for fear of breaching Southwest’s full-requirements contract (“FRC”) with EPNG.  Intervenors call these “contractual curtailments” because there was at no time a shortage of physical capacity on either the EPNG system or the Southwest system to serve Southwest transportation customers. In fact, all such customers effectively received gas service under Southwest’s FRC.  </w:t>
      </w:r>
    </w:p>
    <w:p>
      <w:pPr>
        <w:pStyle w:val="SW-BdDblSp1"/>
        <w:widowControl w:val="false"/>
        <w:spacing w:lineRule="exact" w:line="480"/>
        <w:ind w:hanging="0" w:end="0"/>
        <w:jc w:val="both"/>
        <w:rPr/>
      </w:pPr>
      <w:r>
        <w:rPr/>
        <w:tab/>
        <w:t>The difference between the third-party (e.g., Enron) gas delivered to Southwest from EPNG (often zero during these periods of “contractual curtailment”) and the amount physically consumed by the shipper’s end-use customer is termed a “transportation imbalance.”  Although under normal circumstances, imbalances can go either way and are generally minor in amount, during the past winter the imbalances caused by this “contractual curtailment” were huge (sometimes equaling all of the customer’s usage) and uniformly negative.</w:t>
      </w:r>
      <w:r>
        <w:rPr>
          <w:rStyle w:val="FootnoteCharacters"/>
          <w:rStyle w:val="FootnoteReference"/>
        </w:rPr>
        <w:footnoteReference w:id="3"/>
      </w:r>
      <w:r>
        <w:rPr/>
        <w:t xml:space="preserve">    With no ability to trade with holders of positive imbalances (because there were none), transportation customers of Southwest had to “cash out” their negative imbalances with Southwest, i.e. the imbalance would effectively be treated as an involuntary “sale” of gas from Southwest to the transportation customer.  Under provisions of Southwest’s Rate Schedule T-1, as those customers understood them, they would then be held responsible for the most expensive quantities of Southwest’s gas purchases during the month, whether or not those volumes actually had been purchased by Southwest to cover transportation imbalances.  They would also pay EPNG and Southwest their regular transportation charges, including Southwest’s transportation margin amounts.  A tough break to be sure for shippers and their customers who had done nothing wrong, but it turned out to be only the beginning of their nightmare.</w:t>
      </w:r>
    </w:p>
    <w:p>
      <w:pPr>
        <w:pStyle w:val="SW-BdDblSp1"/>
        <w:widowControl w:val="false"/>
        <w:spacing w:lineRule="exact" w:line="480"/>
        <w:ind w:hanging="0" w:end="0"/>
        <w:jc w:val="both"/>
        <w:rPr/>
      </w:pPr>
      <w:r>
        <w:rPr/>
        <w:tab/>
        <w:t xml:space="preserve">Southwest occasionally made very small purchases of gas at extremely high California-Border prices.  </w:t>
      </w:r>
      <w:r>
        <w:rPr>
          <w:i/>
        </w:rPr>
        <w:t>See</w:t>
      </w:r>
      <w:r>
        <w:rPr/>
        <w:t xml:space="preserve"> Enron Exhibit No. 3, Supplemental Schedule LL-3.  For example, in January of 2001, it purchased 30,000 decatherms (“DT’s”) of gas at $19.25/DT.  </w:t>
      </w:r>
      <w:r>
        <w:rPr>
          <w:i/>
        </w:rPr>
        <w:t>See</w:t>
      </w:r>
      <w:r>
        <w:rPr/>
        <w:t xml:space="preserve"> Enron Exhibit No. 3, Supplemental Schedule LL-4.  The next highest cost purchase for the entire month was $10.085/DT.  </w:t>
      </w:r>
      <w:r>
        <w:rPr>
          <w:i/>
        </w:rPr>
        <w:t>Id.</w:t>
      </w:r>
      <w:r>
        <w:rPr/>
        <w:t xml:space="preserve">  For the reasons discussed above, transportation customers had a total negative imbalance amount of 520,490 DT for that period.  Rather than following its tariff as written, i.e., charging them for the most expensive 520,490 DT purchased by Southwest, including even the $19.25 purchase for which neither Staff witness Gray nor Southwest witness Hester had any explanation, Southwest multiplied the $19.25 figure times the entire imbalance.  The product was a staggering imbalance penalty many times larger than the remainder of the customer’s entire bill.</w:t>
      </w:r>
    </w:p>
    <w:p>
      <w:pPr>
        <w:pStyle w:val="SW-BdDblSp1"/>
        <w:widowControl w:val="false"/>
        <w:spacing w:lineRule="exact" w:line="480"/>
        <w:ind w:hanging="0" w:end="0"/>
        <w:jc w:val="both"/>
        <w:rPr/>
      </w:pPr>
      <w:r>
        <w:rPr/>
        <w:tab/>
        <w:t>The impact on gas competition was as predictable as it is tragic.  Over 75% of the transportation customers during the test period in this case have been driven back to Southwest’s sales service.  This wasn’t to avoid high market prices or prevent physical curtailment.  Returning customers have to pay incremental market gas prices (rather than the historical weighted average cost charged other sales customers) for 12 months anyway, and physical curtailment was never the problem.  Competition is sick and dying in the Southwest service area because of these large contractually-induced imbalances and the clearly excessive imbalance penalties assessed by Southwest.</w:t>
      </w:r>
    </w:p>
    <w:p>
      <w:pPr>
        <w:pStyle w:val="SW-BdDblSp1"/>
        <w:widowControl w:val="false"/>
        <w:spacing w:lineRule="exact" w:line="480"/>
        <w:ind w:hanging="0" w:end="0"/>
        <w:jc w:val="both"/>
        <w:rPr/>
      </w:pPr>
      <w:r>
        <w:rPr/>
        <w:tab/>
        <w:t xml:space="preserve">Although the actions of EPNG and the peculiar, and no doubt unintended, impacts of the Southwest FRC on shippers are clearly federal issues presently before the Federal Energy Regulatory Commission (“FERC”), this Commission is far from powerless to fashion a remedy independent of FERC.  Enron witness Lawner outlined several additions to Southwest’s traditional transportation service that would reduce if not eliminate imbalances attributable to “contractual curtailment” without adversely affecting Southwest’s FRC.  Moreover, it is solely within the Commission’s authority to remedy a clearly unreasonable and punitive application of Southwest’s present tariff provision on transportation imbalance penalties.  </w:t>
      </w:r>
    </w:p>
    <w:p>
      <w:pPr>
        <w:pStyle w:val="SW-BdDblSp1"/>
        <w:widowControl w:val="false"/>
        <w:spacing w:lineRule="exact" w:line="480"/>
        <w:ind w:hanging="0" w:end="0"/>
        <w:jc w:val="center"/>
        <w:rPr>
          <w:b/>
          <w:i/>
          <w:i/>
        </w:rPr>
      </w:pPr>
      <w:r>
        <w:rPr>
          <w:b/>
          <w:i/>
        </w:rPr>
      </w:r>
    </w:p>
    <w:p>
      <w:pPr>
        <w:pStyle w:val="SW-BdDblSp1"/>
        <w:widowControl w:val="false"/>
        <w:spacing w:lineRule="exact" w:line="480"/>
        <w:ind w:hanging="0" w:end="0"/>
        <w:jc w:val="center"/>
        <w:rPr>
          <w:b/>
          <w:i/>
          <w:i/>
        </w:rPr>
      </w:pPr>
      <w:r>
        <w:rPr>
          <w:b/>
          <w:i/>
        </w:rPr>
      </w:r>
    </w:p>
    <w:p>
      <w:pPr>
        <w:pStyle w:val="SW-BdDblSp1"/>
        <w:widowControl w:val="false"/>
        <w:spacing w:lineRule="exact" w:line="480"/>
        <w:ind w:hanging="0" w:end="0"/>
        <w:jc w:val="center"/>
        <w:rPr>
          <w:b/>
          <w:i/>
          <w:i/>
        </w:rPr>
      </w:pPr>
      <w:r>
        <w:rPr>
          <w:b/>
          <w:i/>
        </w:rPr>
        <w:t>ENRON’S AND MIDWEST’S PROPOSALS</w:t>
      </w:r>
    </w:p>
    <w:p>
      <w:pPr>
        <w:pStyle w:val="Normal"/>
        <w:spacing w:lineRule="atLeast" w:line="480"/>
        <w:jc w:val="both"/>
        <w:rPr/>
      </w:pPr>
      <w:r>
        <w:rPr/>
        <w:tab/>
        <w:t xml:space="preserve">Enron witness Lawner proposed specific solutions to the problem of “contractual curtailment” – solutions that do not jeopardize Southwest’s existing contractual relationship with EPNG or violate current FERC policies, and which do not unfairly shift cost recovery responsibility onto Southwest sales customers.  These include offering “standby” or “no notice” sales service, “park and loan” service, and/or “streaming” service.  Ms. Lawner also suggested a cost-based approach to calculating imbalance penalties consistent with the actual language in the current tariff, which could offer some significant relief even under the existing Southwest gas transportation regime.  Although modification of Southwest’s erroneous calculation of imbalance penalties is essential, Enron does not believe </w:t>
      </w:r>
      <w:r>
        <w:rPr>
          <w:u w:val="single"/>
        </w:rPr>
        <w:t>all</w:t>
      </w:r>
      <w:r>
        <w:rPr/>
        <w:t xml:space="preserve"> of its other proposals need be or even should be adopted.  But, the Commission needs to direct the adoption of something before there is no gas competition in Arizona left to save.    </w:t>
      </w:r>
    </w:p>
    <w:p>
      <w:pPr>
        <w:pStyle w:val="Normal"/>
        <w:spacing w:lineRule="atLeast" w:line="480"/>
        <w:jc w:val="both"/>
        <w:rPr/>
      </w:pPr>
      <w:r>
        <w:rPr/>
        <w:tab/>
        <w:t>“No notice” (also referred to as “back-up” or “standby”) sales service would permit transportation customers to switch to sales service when there are contractual constraints on the EPNG system and then back to transportation service when the constraints are relieved.  This could be done on terms and conditions that did not burden other full-time sales customers, and yet would allow transportation customers to receive service without incurring imbalance charges or, as happened to one of the businesses from which public comment was heard, forfeiting existing transportation agreements with Southwest.</w:t>
      </w:r>
    </w:p>
    <w:p>
      <w:pPr>
        <w:pStyle w:val="Normal"/>
        <w:spacing w:lineRule="atLeast" w:line="480" w:before="60" w:after="0"/>
        <w:jc w:val="both"/>
        <w:rPr/>
      </w:pPr>
      <w:r>
        <w:rPr/>
        <w:tab/>
        <w:t>“Park and loan” takes advantage of the ability to store gas in the “line pack” of Southwest’s system.  This would enable shippers to schedule gas on one day and physically deliver it into the system a different day.  Since the service could only be offered by Southwest  on an “as available” or interruptible basis, it is less desirable a solution than “standby” sales service but could provide at least another option for shippers and transportation customers.</w:t>
      </w:r>
    </w:p>
    <w:p>
      <w:pPr>
        <w:pStyle w:val="Normal"/>
        <w:spacing w:lineRule="atLeast" w:line="480"/>
        <w:jc w:val="both"/>
        <w:rPr/>
      </w:pPr>
      <w:r>
        <w:rPr/>
        <w:tab/>
        <w:t>“Streaming” allows an end-user to designate a specific gas supply that Southwest gas would then purchase and deliver to the customer.  Similar to the “buy-through” agreements used in the electric industry and Southwest’s own “two-tier” PGA during the late 80’s and early 90’s, it would provide gas customers with “virtual” direct access without the risk of incurring large imbalance penalties.</w:t>
      </w:r>
    </w:p>
    <w:p>
      <w:pPr>
        <w:pStyle w:val="SW-BdDblSp1"/>
        <w:widowControl w:val="false"/>
        <w:spacing w:lineRule="exact" w:line="480" w:before="40" w:after="0"/>
        <w:ind w:hanging="0" w:end="0"/>
        <w:jc w:val="center"/>
        <w:rPr>
          <w:b/>
          <w:i/>
          <w:i/>
        </w:rPr>
      </w:pPr>
      <w:r>
        <w:rPr>
          <w:b/>
          <w:i/>
        </w:rPr>
        <w:t>RESPONSE TO ARGUMENTS AGAINST THE ABOVE PROPOSALS</w:t>
      </w:r>
    </w:p>
    <w:p>
      <w:pPr>
        <w:pStyle w:val="Normal"/>
        <w:spacing w:lineRule="exact" w:line="480"/>
        <w:jc w:val="both"/>
        <w:rPr/>
      </w:pPr>
      <w:r>
        <w:rPr/>
        <w:tab/>
        <w:t>Both Southwest and Commission Staff have raised various objections to Enron’s proposals.  Each of these was addressed in Enron Exhibit No. 4, which was the Supplemental Testimony of Leslie Lawner.  A brief summary of Intervenors’ response to what appeared to be the principle objections of Southwest and Staff is set forth below:</w:t>
      </w:r>
    </w:p>
    <w:p>
      <w:pPr>
        <w:pStyle w:val="Normal"/>
        <w:spacing w:lineRule="exact" w:line="480"/>
        <w:jc w:val="both"/>
        <w:rPr/>
      </w:pPr>
      <w:r>
        <w:rPr/>
        <w:tab/>
        <w:t>1.</w:t>
        <w:tab/>
      </w:r>
      <w:r>
        <w:rPr>
          <w:u w:val="single"/>
        </w:rPr>
        <w:t>Raising the EPNG billing demand for sales customers</w:t>
      </w:r>
    </w:p>
    <w:p>
      <w:pPr>
        <w:pStyle w:val="Normal"/>
        <w:spacing w:lineRule="exact" w:line="480"/>
        <w:jc w:val="both"/>
        <w:rPr/>
      </w:pPr>
      <w:r>
        <w:rPr/>
        <w:tab/>
        <w:t xml:space="preserve">This simply cannot happen under the current Southwest contract with EPNG, where billing demand is fixed.  That contractual arrangement between Southwest and EPNG is scheduled to continue until the next EPNG rate case in 2005-2006.  Even if it doesn’t, how will killing off transportation service or burdening it with outrageous imbalance charges help the situation?  If there is no real transportation program, all transportation customers will go back to sales, and this will have the exact same effect on Southwest’s demand billing determinants.  If some customers remain on transportation service and are forced to run up imbalances during the same periods they might have relied on, say, a “standby” sales service (under Enron’s proposal), again the result is higher demand billing determinants for Southwest.  The same is also true if new customers drive up Southwest’s demand during some hypothetical EPNG test year, and thereafter go out of business, leave the service area, convert to electric or propane, install more efficient gas equipment, convert to transportation service, or do any other of a thousand things to change, however minutely, Southwest’s gas sales from what they had been during that hypothetical EPNG test period.  </w:t>
      </w:r>
    </w:p>
    <w:p>
      <w:pPr>
        <w:pStyle w:val="Normal"/>
        <w:spacing w:lineRule="exact" w:line="480"/>
        <w:jc w:val="both"/>
        <w:rPr/>
      </w:pPr>
      <w:r>
        <w:rPr/>
        <w:tab/>
        <w:t>That being said, a tariff for “standby” or “streaming” service (this so-called “problem” is not really an issue in “park and loan”) can easily provide for a flow through to customers using those services of any additional EPNG demand charges incurred by Southwest in the future on account of  such customers’ usage.  Indeed, Staff witness Miller agreed that there were no problems with any of Enron’s proposals that could not be addressed through appropriate tariff language.</w:t>
      </w:r>
    </w:p>
    <w:p>
      <w:pPr>
        <w:pStyle w:val="Normal"/>
        <w:spacing w:lineRule="exact" w:line="480"/>
        <w:jc w:val="both"/>
        <w:rPr/>
      </w:pPr>
      <w:r>
        <w:rPr/>
        <w:tab/>
        <w:t>2.</w:t>
        <w:tab/>
      </w:r>
      <w:r>
        <w:rPr>
          <w:u w:val="single"/>
        </w:rPr>
        <w:t>Potential for “gaming</w:t>
      </w:r>
      <w:r>
        <w:rPr/>
        <w:t>”</w:t>
      </w:r>
    </w:p>
    <w:p>
      <w:pPr>
        <w:pStyle w:val="Normal"/>
        <w:spacing w:lineRule="exact" w:line="480"/>
        <w:rPr/>
      </w:pPr>
      <w:r>
        <w:rPr/>
        <w:tab/>
        <w:t>The  concern that shippers would attempt to “game” the system (for example, “park” gas when gas is cheap and expect Southwest to “loan” gas to them when gas is expensive) is pure speculation. Moreover, it is not supported by the only empirical study on the subject of potential shipper “arbitrage” with which Enron is familiar.</w:t>
      </w:r>
    </w:p>
    <w:p>
      <w:pPr>
        <w:pStyle w:val="Normal"/>
        <w:spacing w:lineRule="exact" w:line="480" w:before="0" w:after="60"/>
        <w:jc w:val="both"/>
        <w:rPr/>
      </w:pPr>
      <w:r>
        <w:rPr/>
        <w:tab/>
        <w:t xml:space="preserve">A year long study on the Public Service Company of New Mexico (“PSNM”) system to analyze the impact of monthly transportation imbalances on PSNM’s gas sales customers showed that shippers did not use the system in this way, even though it was possible to put in more gas one day and take it out on another.  In fact, the results were precisely the opposite, i.e., they over-delivered when prices were high and under-delivered when prices were low.  This was not because shippers were either altruistic or stupid.  They simply cannot foresee daily price swings any better than the distribution utility can. </w:t>
      </w:r>
    </w:p>
    <w:p>
      <w:pPr>
        <w:pStyle w:val="Normal"/>
        <w:spacing w:lineRule="exact" w:line="480"/>
        <w:jc w:val="both"/>
        <w:rPr/>
      </w:pPr>
      <w:r>
        <w:rPr/>
        <w:tab/>
        <w:t>3.</w:t>
        <w:tab/>
      </w:r>
      <w:r>
        <w:rPr>
          <w:u w:val="single"/>
        </w:rPr>
        <w:t>Instituting new transportation programs will give “ammunition” to those</w:t>
      </w:r>
    </w:p>
    <w:p>
      <w:pPr>
        <w:pStyle w:val="Normal"/>
        <w:spacing w:lineRule="exact" w:line="240"/>
        <w:jc w:val="both"/>
        <w:rPr/>
      </w:pPr>
      <w:r>
        <w:rPr/>
        <w:tab/>
        <w:tab/>
      </w:r>
      <w:r>
        <w:rPr>
          <w:u w:val="single"/>
        </w:rPr>
        <w:t>who oppose continuation of Southwest’s FRC with EPNG</w:t>
      </w:r>
    </w:p>
    <w:p>
      <w:pPr>
        <w:pStyle w:val="Normal"/>
        <w:spacing w:lineRule="exact" w:line="480"/>
        <w:jc w:val="both"/>
        <w:rPr/>
      </w:pPr>
      <w:r>
        <w:rPr/>
        <w:tab/>
        <w:t xml:space="preserve">Quite to the contrary, steps by this Commission to allow for a functioning transportation service, </w:t>
      </w:r>
      <w:r>
        <w:rPr>
          <w:u w:val="single"/>
        </w:rPr>
        <w:t>within</w:t>
      </w:r>
      <w:r>
        <w:rPr/>
        <w:t xml:space="preserve"> the limitations necessarily imposed by the FRC, will give it and Southwest an additional argument as to why FERC should defer any changes to the Southwest FRC until 2006.  The “ammunition” being used against the FRC is there, regardless, and the best way to help Southwest in this fight is to have a transportation program where shippers can get their gas delivered all the way to the customer’s meter on a reliable basis.</w:t>
      </w:r>
    </w:p>
    <w:p>
      <w:pPr>
        <w:pStyle w:val="Normal"/>
        <w:spacing w:lineRule="exact" w:line="200"/>
        <w:jc w:val="both"/>
        <w:rPr/>
      </w:pPr>
      <w:r>
        <w:rPr/>
      </w:r>
    </w:p>
    <w:p>
      <w:pPr>
        <w:pStyle w:val="Normal"/>
        <w:spacing w:lineRule="exact" w:line="240"/>
        <w:jc w:val="both"/>
        <w:rPr/>
      </w:pPr>
      <w:r>
        <w:rPr/>
        <w:tab/>
        <w:t>4.</w:t>
        <w:tab/>
      </w:r>
      <w:r>
        <w:rPr>
          <w:u w:val="single"/>
        </w:rPr>
        <w:t xml:space="preserve">Enron’s proposals would only recover incremental Southwest costs and </w:t>
      </w:r>
    </w:p>
    <w:p>
      <w:pPr>
        <w:pStyle w:val="Normal"/>
        <w:spacing w:lineRule="exact" w:line="240"/>
        <w:jc w:val="both"/>
        <w:rPr/>
      </w:pPr>
      <w:r>
        <w:rPr/>
        <w:tab/>
        <w:tab/>
      </w:r>
      <w:r>
        <w:rPr>
          <w:u w:val="single"/>
        </w:rPr>
        <w:t>would not contribute to the utility’s fixed or embedded margin requirements</w:t>
      </w:r>
    </w:p>
    <w:p>
      <w:pPr>
        <w:pStyle w:val="Normal"/>
        <w:spacing w:lineRule="exact" w:line="480"/>
        <w:jc w:val="both"/>
        <w:rPr/>
      </w:pPr>
      <w:r>
        <w:rPr/>
        <w:tab/>
        <w:t>This is simply a misinterpretation of Enron’s proposals.  Under either the “standby” sales or “streaming” proposals, the same embedded transportation margins as currently recovered (or as modified as a result of this rate proceeding) would be recovered by Southwest as part of what would effectively be either a short-term (“standby”) or a virtual (“streaming”) sales service to the transportation customer from Southwest.  Although Enron believes these margins are generally excessive and do not reflect the actual unbundled costs of transportation service, they at least represent real costs incurred by Southwest (even if not incurred solely to provide transportation service) and not some contrived and exorbitant “penalty.”  Thus, for example, if the Commission believed that the existing transportation margin rates should be increased to include a portion of the fixed El Paso demand charges as well as any hypothetical and incremental increase in such demand charges, either as a flow-through, as described above, or through some sort of “back-up” capacity charge (as with PSNM), it would still be an improvement over the current situation.</w:t>
      </w:r>
    </w:p>
    <w:p>
      <w:pPr>
        <w:pStyle w:val="Normal"/>
        <w:spacing w:lineRule="exact" w:line="480"/>
        <w:jc w:val="both"/>
        <w:rPr/>
      </w:pPr>
      <w:r>
        <w:rPr/>
        <w:tab/>
        <w:t>5.</w:t>
        <w:tab/>
      </w:r>
      <w:r>
        <w:rPr>
          <w:u w:val="single"/>
        </w:rPr>
        <w:t>Excessive transportation imbalance penalties benefit sales customers</w:t>
      </w:r>
    </w:p>
    <w:p>
      <w:pPr>
        <w:pStyle w:val="Normal"/>
        <w:spacing w:lineRule="exact" w:line="480"/>
        <w:jc w:val="both"/>
        <w:rPr/>
      </w:pPr>
      <w:r>
        <w:rPr/>
        <w:tab/>
        <w:t>This is as close to a “defense” of Southwest’s interpretation of the present transportation imbalance penalty provision as was offered in this proceeding.  Like some corporate “Robin Hood,” Southwest “steals from the rich and gives to the poor.”  Well, not all transportation customers are rich, and not all sales customers poor, and stealing is still theft both in 13th century England and 21st century America.  Neither Southwest nor Staff could explain, or for that matter, attempted to explain why it was reasonable for transportation customers to be penalized (to the tune of millions of dollars) for actions wholly outside their control.  Under Intervenors’ reading of the existing Schedule T-1, transportation customers would absorb the highest cost volumes of gas purchased by Southwest and also pay the usual transportation charges to both Southwest and EPNG.  Such imbalance provision could even be modified prospectively to pick-up additional sales-related costs and still be far superior to Southwest’s draconian calculation of imbalance penalties.</w:t>
      </w:r>
    </w:p>
    <w:p>
      <w:pPr>
        <w:pStyle w:val="Normal"/>
        <w:spacing w:lineRule="exact" w:line="480"/>
        <w:jc w:val="both"/>
        <w:rPr/>
      </w:pPr>
      <w:r>
        <w:rPr/>
        <w:tab/>
        <w:t>Enron and Midwest also reject the fundamental premise that sales customers will actually  be better off if competitive gas transportation service is allowed to die.  Whether they take advantage of this competitive option, its existence no doubt makes Southwest a more efficient and customer-friendly utility.  This benefits all Southwest customers and helps to make Arizona businesses and industries more competitive with those in other states.</w:t>
      </w:r>
    </w:p>
    <w:p>
      <w:pPr>
        <w:pStyle w:val="Normal"/>
        <w:spacing w:lineRule="atLeast" w:line="240"/>
        <w:jc w:val="both"/>
        <w:rPr>
          <w:b/>
        </w:rPr>
      </w:pPr>
      <w:r>
        <w:rPr>
          <w:b/>
        </w:rPr>
      </w:r>
    </w:p>
    <w:p>
      <w:pPr>
        <w:pStyle w:val="Normal"/>
        <w:spacing w:lineRule="atLeast" w:line="240"/>
        <w:jc w:val="both"/>
        <w:rPr/>
      </w:pPr>
      <w:r>
        <w:rPr>
          <w:b/>
        </w:rPr>
        <w:tab/>
      </w:r>
      <w:r>
        <w:rPr/>
        <w:t>6.</w:t>
        <w:tab/>
      </w:r>
      <w:r>
        <w:rPr>
          <w:u w:val="single"/>
        </w:rPr>
        <w:t>Put the transportation problem off into a series of workshops separate from</w:t>
      </w:r>
    </w:p>
    <w:p>
      <w:pPr>
        <w:pStyle w:val="Normal"/>
        <w:spacing w:lineRule="atLeast" w:line="240"/>
        <w:jc w:val="both"/>
        <w:rPr/>
      </w:pPr>
      <w:r>
        <w:rPr/>
        <w:tab/>
        <w:tab/>
      </w:r>
      <w:r>
        <w:rPr>
          <w:u w:val="single"/>
        </w:rPr>
        <w:t>and subsequent to final resolution of the instant rate case</w:t>
      </w:r>
    </w:p>
    <w:p>
      <w:pPr>
        <w:pStyle w:val="SW-BdDblSp1"/>
        <w:widowControl w:val="false"/>
        <w:spacing w:lineRule="exact" w:line="480" w:before="60" w:after="0"/>
        <w:ind w:hanging="0" w:end="0"/>
        <w:jc w:val="both"/>
        <w:rPr/>
      </w:pPr>
      <w:r>
        <w:rPr/>
        <w:tab/>
        <w:t>This is the same argument raised by Southwest in opposing Enron’s and Midwest’s intervention – an argument rejected by the ALJ.  And, Enron’s prior experience with the “let’s do it later and outside the rate case” process was not one that inspires Intervenors with any confidence.  During Southwest’s last rate proceeding, Enron accepted a Southwest proposal to address rate unbundling through a separate tariff filing after the rate case.  Enron thereafter filed specific unbundled tariff proposals, which Southwest did not oppose.  Over three years has passed without any Commission action.</w:t>
      </w:r>
    </w:p>
    <w:p>
      <w:pPr>
        <w:pStyle w:val="SW-BdDblSp1"/>
        <w:widowControl w:val="false"/>
        <w:spacing w:lineRule="exact" w:line="480" w:before="60" w:after="0"/>
        <w:ind w:hanging="0" w:end="0"/>
        <w:jc w:val="both"/>
        <w:rPr/>
      </w:pPr>
      <w:r>
        <w:rPr/>
        <w:tab/>
        <w:t xml:space="preserve">Nevertheless, had Southwest or Staff suggested a series of workshops paralleling the rate case when Enron met with them last December instead of simply denying there was a problem, or viewing every Enron suggestion as an attack on Southwest’s FRC, this might have been a workable solution if it were also accompanied by both a firm date for bringing the matter to a final conclusion before the Commission </w:t>
      </w:r>
      <w:r>
        <w:rPr>
          <w:u w:val="single"/>
        </w:rPr>
        <w:t>and</w:t>
      </w:r>
      <w:r>
        <w:rPr/>
        <w:t xml:space="preserve"> some relief from Southwest’s onerous interpretation of the present provision on transportation imbalance penalties.  </w:t>
      </w:r>
    </w:p>
    <w:p>
      <w:pPr>
        <w:pStyle w:val="SW-BdDblSp1"/>
        <w:widowControl w:val="false"/>
        <w:spacing w:lineRule="exact" w:line="480" w:before="120" w:after="0"/>
        <w:ind w:hanging="0" w:end="0"/>
        <w:jc w:val="center"/>
        <w:rPr>
          <w:b/>
          <w:i/>
          <w:i/>
        </w:rPr>
      </w:pPr>
      <w:r>
        <w:rPr>
          <w:b/>
          <w:i/>
        </w:rPr>
        <w:t>CONCLUSION</w:t>
      </w:r>
    </w:p>
    <w:p>
      <w:pPr>
        <w:pStyle w:val="SW-BdDblSp1"/>
        <w:widowControl w:val="false"/>
        <w:spacing w:lineRule="exact" w:line="480"/>
        <w:ind w:hanging="0" w:end="0"/>
        <w:jc w:val="both"/>
        <w:rPr/>
      </w:pPr>
      <w:r>
        <w:rPr/>
        <w:tab/>
        <w:t xml:space="preserve">What is at stake here is literally the survival of competitive gas service in Arizona.  Devastating imbalance penalties – penalties far above any conceivable level of costs imposed on Southwest – and the lack of viable transportation options that would allow shippers to reach their end-use customers </w:t>
      </w:r>
      <w:r>
        <w:rPr>
          <w:u w:val="single"/>
        </w:rPr>
        <w:t>without</w:t>
      </w:r>
      <w:r>
        <w:rPr/>
        <w:t xml:space="preserve"> disturbing Southwest’s FRC with EPNG, are killing it.  And as the public comment showed, its not really the shippers that are at risk, but those business customers that rely on competitive gas transportation.  The shippers can always move their business elsewhere.  The end-use customer often cannot.  </w:t>
      </w:r>
    </w:p>
    <w:p>
      <w:pPr>
        <w:pStyle w:val="SW-BdDblSp1"/>
        <w:widowControl w:val="false"/>
        <w:spacing w:lineRule="exact" w:line="480"/>
        <w:ind w:hanging="0" w:end="0"/>
        <w:jc w:val="both"/>
        <w:rPr/>
      </w:pPr>
      <w:r>
        <w:rPr/>
        <w:tab/>
        <w:t xml:space="preserve">Now, the Commission can simply throw up its hands and let FERC decide the fate of gas competition in this state, or it can attempt to show that the Southwest FRC need not be anti-competitive with the application of some creative thinking.  The Commission can also decide to condemn gas transportation service to the slower but equally sure “death of a thousand workshops,” or it can take a leadership role here and now while the competitive option of gas transportation still has a chance of survival.  The choice is yours.  </w:t>
      </w:r>
    </w:p>
    <w:p>
      <w:pPr>
        <w:pStyle w:val="SW-BdDblSp1"/>
        <w:widowControl w:val="false"/>
        <w:spacing w:lineRule="exact" w:line="240"/>
        <w:ind w:hanging="0" w:end="0"/>
        <w:jc w:val="both"/>
        <w:rPr/>
      </w:pPr>
      <w:r>
        <w:rPr>
          <w:b/>
        </w:rPr>
        <w:tab/>
      </w:r>
      <w:r>
        <w:rPr/>
        <w:t xml:space="preserve"> </w:t>
      </w:r>
    </w:p>
    <w:p>
      <w:pPr>
        <w:pStyle w:val="SW-BdDblSp1"/>
        <w:widowControl w:val="false"/>
        <w:spacing w:lineRule="exact" w:line="240"/>
        <w:ind w:hanging="0" w:end="0"/>
        <w:jc w:val="both"/>
        <w:rPr/>
      </w:pPr>
      <w:r>
        <w:rPr/>
        <w:tab/>
        <w:tab/>
        <w:tab/>
        <w:t>RESPECTFULLY submitted this 22nd day of August, 2001.</w:t>
      </w:r>
    </w:p>
    <w:p>
      <w:pPr>
        <w:pStyle w:val="SW-BdDblSp1"/>
        <w:widowControl w:val="false"/>
        <w:spacing w:lineRule="auto" w:line="240"/>
        <w:ind w:hanging="0" w:end="0"/>
        <w:rPr/>
      </w:pPr>
      <w:r>
        <w:rPr/>
      </w:r>
    </w:p>
    <w:p>
      <w:pPr>
        <w:pStyle w:val="SW-BdDblSp1"/>
        <w:widowControl w:val="false"/>
        <w:spacing w:lineRule="auto" w:line="240"/>
        <w:ind w:hanging="0" w:end="0"/>
        <w:rPr/>
      </w:pPr>
      <w:r>
        <w:rPr/>
      </w:r>
    </w:p>
    <w:p>
      <w:pPr>
        <w:pStyle w:val="SW-BdDblSp1"/>
        <w:widowControl w:val="false"/>
        <w:spacing w:lineRule="auto" w:line="240"/>
        <w:ind w:hanging="0" w:end="0"/>
        <w:rPr/>
      </w:pPr>
      <w:r>
        <w:rPr/>
        <w:tab/>
        <w:tab/>
        <w:tab/>
        <w:tab/>
        <w:tab/>
        <w:tab/>
        <w:tab/>
        <w:t>___________________________________</w:t>
      </w:r>
    </w:p>
    <w:p>
      <w:pPr>
        <w:pStyle w:val="SW-BdDblSp1"/>
        <w:widowControl w:val="false"/>
        <w:spacing w:lineRule="auto" w:line="240"/>
        <w:ind w:hanging="0" w:end="0"/>
        <w:rPr/>
      </w:pPr>
      <w:r>
        <w:rPr/>
        <w:tab/>
        <w:tab/>
        <w:tab/>
        <w:tab/>
        <w:tab/>
        <w:tab/>
        <w:tab/>
        <w:t>Thomas L. Mumaw</w:t>
      </w:r>
    </w:p>
    <w:p>
      <w:pPr>
        <w:pStyle w:val="SW-BdDblSp1"/>
        <w:widowControl w:val="false"/>
        <w:spacing w:lineRule="auto" w:line="240"/>
        <w:ind w:hanging="0" w:end="0"/>
        <w:rPr/>
      </w:pPr>
      <w:r>
        <w:rPr/>
        <w:tab/>
        <w:tab/>
        <w:tab/>
        <w:tab/>
        <w:tab/>
        <w:tab/>
        <w:tab/>
        <w:t>SNELL &amp; WILMER</w:t>
      </w:r>
    </w:p>
    <w:p>
      <w:pPr>
        <w:pStyle w:val="SW-BdDblSp1"/>
        <w:widowControl w:val="false"/>
        <w:spacing w:lineRule="auto" w:line="240"/>
        <w:ind w:hanging="0" w:end="0"/>
        <w:rPr/>
      </w:pPr>
      <w:r>
        <w:rPr/>
        <w:tab/>
        <w:tab/>
        <w:tab/>
        <w:tab/>
        <w:tab/>
        <w:tab/>
        <w:tab/>
        <w:t>One Arizona Center</w:t>
      </w:r>
    </w:p>
    <w:p>
      <w:pPr>
        <w:pStyle w:val="SW-BdDblSp1"/>
        <w:widowControl w:val="false"/>
        <w:spacing w:lineRule="auto" w:line="240"/>
        <w:ind w:hanging="0" w:end="0"/>
        <w:rPr/>
      </w:pPr>
      <w:r>
        <w:rPr/>
        <w:tab/>
        <w:tab/>
        <w:tab/>
        <w:tab/>
        <w:tab/>
        <w:tab/>
        <w:tab/>
        <w:t>Phoenix, Arizona 85004-2202</w:t>
      </w:r>
    </w:p>
    <w:p>
      <w:pPr>
        <w:pStyle w:val="SW-BdDblSp1"/>
        <w:widowControl w:val="false"/>
        <w:spacing w:lineRule="auto" w:line="240"/>
        <w:ind w:hanging="0" w:end="0"/>
        <w:rPr/>
      </w:pPr>
      <w:r>
        <w:rPr/>
        <w:tab/>
        <w:tab/>
        <w:tab/>
        <w:tab/>
        <w:tab/>
        <w:tab/>
        <w:tab/>
      </w:r>
    </w:p>
    <w:p>
      <w:pPr>
        <w:pStyle w:val="SW-BdDblSp1"/>
        <w:widowControl w:val="false"/>
        <w:spacing w:lineRule="auto" w:line="240"/>
        <w:ind w:hanging="0" w:end="0"/>
        <w:rPr/>
      </w:pPr>
      <w:r>
        <w:rPr/>
        <w:tab/>
        <w:tab/>
        <w:tab/>
        <w:tab/>
        <w:tab/>
        <w:tab/>
        <w:tab/>
        <w:t xml:space="preserve">Attorneys for Enron Energy Services, Inc. </w:t>
        <w:tab/>
        <w:tab/>
        <w:tab/>
        <w:tab/>
        <w:tab/>
        <w:tab/>
        <w:tab/>
        <w:t>and Midwest United Energy, L.L.C.</w:t>
      </w:r>
      <w:r>
        <w:br w:type="page"/>
      </w:r>
    </w:p>
    <w:p>
      <w:pPr>
        <w:pStyle w:val="SW-BdDblSp1"/>
        <w:widowControl w:val="false"/>
        <w:spacing w:lineRule="auto" w:line="240"/>
        <w:ind w:hanging="0" w:end="0"/>
        <w:rPr/>
      </w:pPr>
      <w:r>
        <w:rPr/>
        <w:t xml:space="preserve">ORIGINAL and ten (10) copies </w:t>
      </w:r>
    </w:p>
    <w:p>
      <w:pPr>
        <w:pStyle w:val="Normal"/>
        <w:spacing w:lineRule="exact" w:line="240"/>
        <w:rPr/>
      </w:pPr>
      <w:r>
        <w:rPr/>
        <w:t>filed with Docket Control of the</w:t>
      </w:r>
    </w:p>
    <w:p>
      <w:pPr>
        <w:pStyle w:val="Normal"/>
        <w:spacing w:lineRule="exact" w:line="240"/>
        <w:rPr/>
      </w:pPr>
      <w:r>
        <w:rPr/>
        <w:t xml:space="preserve">Arizona Corporation Commission </w:t>
      </w:r>
    </w:p>
    <w:p>
      <w:pPr>
        <w:pStyle w:val="Normal"/>
        <w:spacing w:lineRule="exact" w:line="240" w:before="0" w:after="240"/>
        <w:rPr/>
      </w:pPr>
      <w:r>
        <w:rPr/>
        <w:t>this 22nd day of August, 2001.</w:t>
      </w:r>
    </w:p>
    <w:p>
      <w:pPr>
        <w:pStyle w:val="Normal"/>
        <w:spacing w:lineRule="exact" w:line="240"/>
        <w:rPr/>
      </w:pPr>
      <w:r>
        <w:rPr/>
        <w:t>COPIES FAXED, MAILED OR HAND-DELIVERED</w:t>
      </w:r>
    </w:p>
    <w:p>
      <w:pPr>
        <w:pStyle w:val="Normal"/>
        <w:spacing w:lineRule="exact" w:line="240"/>
        <w:rPr/>
      </w:pPr>
      <w:r>
        <w:rPr/>
        <w:t>this 22nd day of August, 2001, to:</w:t>
      </w:r>
    </w:p>
    <w:p>
      <w:pPr>
        <w:pStyle w:val="Normal"/>
        <w:spacing w:lineRule="exact" w:line="240"/>
        <w:rPr/>
      </w:pPr>
      <w:r>
        <w:rPr/>
      </w:r>
    </w:p>
    <w:p>
      <w:pPr>
        <w:sectPr>
          <w:headerReference w:type="default" r:id="rId2"/>
          <w:headerReference w:type="first" r:id="rId3"/>
          <w:footerReference w:type="default" r:id="rId4"/>
          <w:footerReference w:type="first" r:id="rId5"/>
          <w:footnotePr>
            <w:numFmt w:val="decimal"/>
          </w:footnotePr>
          <w:type w:val="nextPage"/>
          <w:pgSz w:w="12240" w:h="15840"/>
          <w:pgMar w:left="2088" w:right="864" w:gutter="0" w:header="432" w:top="1915" w:footer="360" w:bottom="1613"/>
          <w:pgNumType w:start="1" w:fmt="decimal"/>
          <w:formProt w:val="false"/>
          <w:titlePg/>
          <w:textDirection w:val="lrTb"/>
          <w:docGrid w:type="default" w:linePitch="360" w:charSpace="0"/>
        </w:sectPr>
      </w:pPr>
    </w:p>
    <w:p>
      <w:pPr>
        <w:pStyle w:val="Normal"/>
        <w:spacing w:lineRule="exact" w:line="240"/>
        <w:rPr/>
      </w:pPr>
      <w:r>
        <w:rPr/>
        <w:t>Jane Rodda, Administrative Law Judge</w:t>
      </w:r>
    </w:p>
    <w:p>
      <w:pPr>
        <w:pStyle w:val="Normal"/>
        <w:spacing w:lineRule="exact" w:line="240"/>
        <w:rPr/>
      </w:pPr>
      <w:r>
        <w:rPr/>
        <w:t>ARIZONA CORPORATION COMMISSION</w:t>
      </w:r>
    </w:p>
    <w:p>
      <w:pPr>
        <w:pStyle w:val="Normal"/>
        <w:spacing w:lineRule="exact" w:line="240"/>
        <w:rPr/>
      </w:pPr>
      <w:r>
        <w:rPr/>
        <w:t>1200 West Washington Street</w:t>
      </w:r>
    </w:p>
    <w:p>
      <w:pPr>
        <w:pStyle w:val="Normal"/>
        <w:spacing w:lineRule="exact" w:line="240"/>
        <w:rPr/>
      </w:pPr>
      <w:r>
        <w:rPr/>
        <w:t>Phoenix, Arizona 85007</w:t>
      </w:r>
    </w:p>
    <w:p>
      <w:pPr>
        <w:pStyle w:val="Normal"/>
        <w:spacing w:lineRule="exact" w:line="240"/>
        <w:rPr/>
      </w:pPr>
      <w:r>
        <w:rPr/>
      </w:r>
    </w:p>
    <w:p>
      <w:pPr>
        <w:pStyle w:val="Normal"/>
        <w:spacing w:lineRule="exact" w:line="240"/>
        <w:rPr/>
      </w:pPr>
      <w:r>
        <w:rPr/>
        <w:t xml:space="preserve">Steve Olea, Acting Director </w:t>
      </w:r>
    </w:p>
    <w:p>
      <w:pPr>
        <w:pStyle w:val="Normal"/>
        <w:spacing w:lineRule="exact" w:line="240"/>
        <w:rPr/>
      </w:pPr>
      <w:r>
        <w:rPr/>
        <w:t>Utilities Division</w:t>
      </w:r>
    </w:p>
    <w:p>
      <w:pPr>
        <w:pStyle w:val="Normal"/>
        <w:spacing w:lineRule="exact" w:line="240"/>
        <w:rPr/>
      </w:pPr>
      <w:r>
        <w:rPr/>
        <w:t>ARIZONA CORPORATION COMMISSION</w:t>
      </w:r>
    </w:p>
    <w:p>
      <w:pPr>
        <w:pStyle w:val="Normal"/>
        <w:spacing w:lineRule="exact" w:line="240"/>
        <w:rPr/>
      </w:pPr>
      <w:r>
        <w:rPr/>
        <w:t>1200 West Washington Street</w:t>
      </w:r>
    </w:p>
    <w:p>
      <w:pPr>
        <w:pStyle w:val="Normal"/>
        <w:spacing w:lineRule="exact" w:line="240"/>
        <w:rPr/>
      </w:pPr>
      <w:r>
        <w:rPr/>
        <w:t>Phoenix, Arizona 85007</w:t>
      </w:r>
    </w:p>
    <w:p>
      <w:pPr>
        <w:pStyle w:val="Normal"/>
        <w:spacing w:lineRule="exact" w:line="240"/>
        <w:rPr/>
      </w:pPr>
      <w:r>
        <w:rPr/>
      </w:r>
    </w:p>
    <w:p>
      <w:pPr>
        <w:pStyle w:val="Normal"/>
        <w:spacing w:lineRule="exact" w:line="240"/>
        <w:rPr/>
      </w:pPr>
      <w:r>
        <w:rPr/>
        <w:t>Christopher C. Kempley, Esq.</w:t>
      </w:r>
    </w:p>
    <w:p>
      <w:pPr>
        <w:pStyle w:val="Normal"/>
        <w:spacing w:lineRule="exact" w:line="240"/>
        <w:rPr/>
      </w:pPr>
      <w:r>
        <w:rPr/>
        <w:t xml:space="preserve">Chief Counsel, Legal Division </w:t>
      </w:r>
    </w:p>
    <w:p>
      <w:pPr>
        <w:pStyle w:val="Normal"/>
        <w:spacing w:lineRule="exact" w:line="240"/>
        <w:rPr/>
      </w:pPr>
      <w:r>
        <w:rPr/>
        <w:t>ARIZONA CORPORATION COMMISSION</w:t>
      </w:r>
    </w:p>
    <w:p>
      <w:pPr>
        <w:pStyle w:val="Normal"/>
        <w:spacing w:lineRule="exact" w:line="240"/>
        <w:rPr/>
      </w:pPr>
      <w:r>
        <w:rPr/>
        <w:t>1200 West Washington Street</w:t>
      </w:r>
    </w:p>
    <w:p>
      <w:pPr>
        <w:pStyle w:val="Normal"/>
        <w:spacing w:lineRule="exact" w:line="240" w:before="0" w:after="240"/>
        <w:rPr/>
      </w:pPr>
      <w:r>
        <w:rPr/>
        <w:t>Phoenix, Arizona 85007</w:t>
      </w:r>
    </w:p>
    <w:p>
      <w:pPr>
        <w:pStyle w:val="Normal"/>
        <w:spacing w:lineRule="exact" w:line="240"/>
        <w:rPr/>
      </w:pPr>
      <w:r>
        <w:rPr/>
        <w:t>Andrew W. Bettwy, Esq.</w:t>
      </w:r>
    </w:p>
    <w:p>
      <w:pPr>
        <w:pStyle w:val="Normal"/>
        <w:spacing w:lineRule="exact" w:line="240"/>
        <w:rPr/>
      </w:pPr>
      <w:r>
        <w:rPr/>
        <w:t>SOUTHWEST GAS CORP.</w:t>
      </w:r>
    </w:p>
    <w:p>
      <w:pPr>
        <w:pStyle w:val="Normal"/>
        <w:spacing w:lineRule="exact" w:line="240"/>
        <w:rPr/>
      </w:pPr>
      <w:r>
        <w:rPr/>
        <w:t>5241 Spring Mountain Road</w:t>
      </w:r>
    </w:p>
    <w:p>
      <w:pPr>
        <w:pStyle w:val="Normal"/>
        <w:spacing w:lineRule="exact" w:line="240"/>
        <w:rPr/>
      </w:pPr>
      <w:r>
        <w:rPr/>
        <w:t>Las Vegas, Nevada  89102</w:t>
      </w:r>
    </w:p>
    <w:p>
      <w:pPr>
        <w:pStyle w:val="Normal"/>
        <w:spacing w:lineRule="exact" w:line="240"/>
        <w:rPr/>
      </w:pPr>
      <w:r>
        <w:rPr/>
      </w:r>
    </w:p>
    <w:p>
      <w:pPr>
        <w:pStyle w:val="Normal"/>
        <w:spacing w:lineRule="exact" w:line="240"/>
        <w:rPr/>
      </w:pPr>
      <w:r>
        <w:rPr/>
        <w:t>Walter Meek</w:t>
      </w:r>
    </w:p>
    <w:p>
      <w:pPr>
        <w:pStyle w:val="Normal"/>
        <w:spacing w:lineRule="exact" w:line="240"/>
        <w:rPr/>
      </w:pPr>
      <w:r>
        <w:rPr/>
        <w:t>AUIA</w:t>
      </w:r>
    </w:p>
    <w:p>
      <w:pPr>
        <w:pStyle w:val="Normal"/>
        <w:spacing w:lineRule="exact" w:line="240"/>
        <w:rPr/>
      </w:pPr>
      <w:r>
        <w:rPr/>
        <w:t>Raymond S. Heyman, Esq.</w:t>
      </w:r>
    </w:p>
    <w:p>
      <w:pPr>
        <w:pStyle w:val="Normal"/>
        <w:spacing w:lineRule="exact" w:line="240"/>
        <w:rPr/>
      </w:pPr>
      <w:r>
        <w:rPr/>
        <w:t>ROSHKA, HEYMAN &amp; DeWULF</w:t>
      </w:r>
    </w:p>
    <w:p>
      <w:pPr>
        <w:pStyle w:val="Normal"/>
        <w:spacing w:lineRule="exact" w:line="240"/>
        <w:rPr/>
      </w:pPr>
      <w:r>
        <w:rPr/>
        <w:t>400 N. 5th Street, Suite 1000</w:t>
      </w:r>
    </w:p>
    <w:p>
      <w:pPr>
        <w:pStyle w:val="Normal"/>
        <w:spacing w:lineRule="exact" w:line="240"/>
        <w:rPr/>
      </w:pPr>
      <w:r>
        <w:rPr/>
        <w:t>Phoenix, Arizona  85004</w:t>
      </w:r>
    </w:p>
    <w:p>
      <w:pPr>
        <w:pStyle w:val="Normal"/>
        <w:spacing w:lineRule="exact" w:line="240"/>
        <w:rPr/>
      </w:pPr>
      <w:r>
        <w:rPr/>
        <w:t>Attorneys for Tucson Electric Power Co.</w:t>
      </w:r>
    </w:p>
    <w:p>
      <w:pPr>
        <w:pStyle w:val="Normal"/>
        <w:spacing w:lineRule="exact" w:line="240"/>
        <w:rPr/>
      </w:pPr>
      <w:r>
        <w:rPr/>
      </w:r>
    </w:p>
    <w:p>
      <w:pPr>
        <w:pStyle w:val="Normal"/>
        <w:spacing w:lineRule="exact" w:line="240"/>
        <w:rPr/>
      </w:pPr>
      <w:r>
        <w:rPr/>
        <w:t>Scott S. Wakefield, Esq.</w:t>
      </w:r>
    </w:p>
    <w:p>
      <w:pPr>
        <w:pStyle w:val="Normal"/>
        <w:spacing w:lineRule="exact" w:line="240"/>
        <w:rPr/>
      </w:pPr>
      <w:r>
        <w:rPr/>
        <w:t>RUCO</w:t>
      </w:r>
    </w:p>
    <w:p>
      <w:pPr>
        <w:pStyle w:val="Normal"/>
        <w:spacing w:lineRule="exact" w:line="240"/>
        <w:rPr/>
      </w:pPr>
      <w:r>
        <w:rPr/>
        <w:t>2828 N. Central Avenue, Suite 1200</w:t>
      </w:r>
    </w:p>
    <w:p>
      <w:pPr>
        <w:pStyle w:val="Normal"/>
        <w:spacing w:lineRule="exact" w:line="240"/>
        <w:rPr/>
      </w:pPr>
      <w:r>
        <w:rPr/>
        <w:t>Phoenix, Arizona  85004</w:t>
      </w:r>
    </w:p>
    <w:p>
      <w:pPr>
        <w:pStyle w:val="Normal"/>
        <w:spacing w:lineRule="exact" w:line="240"/>
        <w:rPr/>
      </w:pPr>
      <w:r>
        <w:rPr/>
      </w:r>
    </w:p>
    <w:p>
      <w:pPr>
        <w:pStyle w:val="Normal"/>
        <w:spacing w:lineRule="exact" w:line="240"/>
        <w:rPr/>
      </w:pPr>
      <w:r>
        <w:rPr/>
        <w:t>Nicholas J. Enoch, Esq.</w:t>
      </w:r>
    </w:p>
    <w:p>
      <w:pPr>
        <w:pStyle w:val="Normal"/>
        <w:spacing w:lineRule="exact" w:line="240"/>
        <w:rPr/>
      </w:pPr>
      <w:r>
        <w:rPr/>
        <w:t>Jeffrey F. Arbetman, Esq.</w:t>
      </w:r>
    </w:p>
    <w:p>
      <w:pPr>
        <w:pStyle w:val="Normal"/>
        <w:spacing w:lineRule="exact" w:line="240"/>
        <w:rPr/>
      </w:pPr>
      <w:r>
        <w:rPr/>
        <w:t>LUBIN &amp; ENOCH,P.C.</w:t>
      </w:r>
    </w:p>
    <w:p>
      <w:pPr>
        <w:pStyle w:val="Normal"/>
        <w:spacing w:lineRule="exact" w:line="240"/>
        <w:rPr/>
      </w:pPr>
      <w:r>
        <w:rPr/>
        <w:t>2702 N. 3rd Street, Suite 3020</w:t>
      </w:r>
    </w:p>
    <w:p>
      <w:pPr>
        <w:pStyle w:val="Normal"/>
        <w:spacing w:lineRule="exact" w:line="240"/>
        <w:rPr/>
      </w:pPr>
      <w:r>
        <w:rPr/>
        <w:t>Phoenix, Arizona  85004</w:t>
      </w:r>
    </w:p>
    <w:p>
      <w:pPr>
        <w:pStyle w:val="Normal"/>
        <w:spacing w:lineRule="exact" w:line="240"/>
        <w:rPr/>
      </w:pPr>
      <w:r>
        <w:rPr/>
        <w:t>Attorneys for Complainants</w:t>
      </w:r>
    </w:p>
    <w:p>
      <w:pPr>
        <w:pStyle w:val="Normal"/>
        <w:spacing w:lineRule="exact" w:line="240"/>
        <w:rPr/>
      </w:pPr>
      <w:r>
        <w:rPr/>
      </w:r>
    </w:p>
    <w:p>
      <w:pPr>
        <w:pStyle w:val="Normal"/>
        <w:spacing w:lineRule="exact" w:line="240"/>
        <w:rPr/>
      </w:pPr>
      <w:r>
        <w:rPr/>
        <w:t>Timothy Berg, Esq.</w:t>
      </w:r>
    </w:p>
    <w:p>
      <w:pPr>
        <w:pStyle w:val="Normal"/>
        <w:spacing w:lineRule="exact" w:line="240"/>
        <w:rPr/>
      </w:pPr>
      <w:r>
        <w:rPr/>
        <w:t>Theresa Dwyer, Esq.</w:t>
      </w:r>
    </w:p>
    <w:p>
      <w:pPr>
        <w:pStyle w:val="Normal"/>
        <w:spacing w:lineRule="exact" w:line="240"/>
        <w:rPr/>
      </w:pPr>
      <w:r>
        <w:rPr/>
        <w:t>FENNEMORE CRAIG, P.C.</w:t>
      </w:r>
    </w:p>
    <w:p>
      <w:pPr>
        <w:pStyle w:val="Normal"/>
        <w:spacing w:lineRule="exact" w:line="240"/>
        <w:rPr/>
      </w:pPr>
      <w:r>
        <w:rPr/>
        <w:t>3003 N. Central Avenue, Suite 2600</w:t>
      </w:r>
    </w:p>
    <w:p>
      <w:pPr>
        <w:pStyle w:val="Normal"/>
        <w:spacing w:lineRule="exact" w:line="240"/>
        <w:rPr/>
      </w:pPr>
      <w:r>
        <w:rPr/>
        <w:t>Phoenix, Arizona  85012-2913</w:t>
      </w:r>
    </w:p>
    <w:p>
      <w:pPr>
        <w:pStyle w:val="Normal"/>
        <w:spacing w:lineRule="exact" w:line="240"/>
        <w:rPr/>
      </w:pPr>
      <w:r>
        <w:rPr/>
      </w:r>
    </w:p>
    <w:p>
      <w:pPr>
        <w:pStyle w:val="Normal"/>
        <w:spacing w:lineRule="exact" w:line="240"/>
        <w:rPr/>
      </w:pPr>
      <w:r>
        <w:rPr/>
        <w:t>ARIZONA REPORTING SERVICE, INC.</w:t>
      </w:r>
    </w:p>
    <w:p>
      <w:pPr>
        <w:pStyle w:val="Normal"/>
        <w:spacing w:lineRule="exact" w:line="240"/>
        <w:rPr/>
      </w:pPr>
      <w:r>
        <w:rPr/>
        <w:t>2627 N. Third Street, Suite Three</w:t>
      </w:r>
    </w:p>
    <w:p>
      <w:pPr>
        <w:pStyle w:val="Normal"/>
        <w:spacing w:lineRule="exact" w:line="240"/>
        <w:rPr/>
      </w:pPr>
      <w:r>
        <w:rPr/>
        <w:t>Phoenix, Arizona  85004-1003</w:t>
      </w:r>
    </w:p>
    <w:p>
      <w:pPr>
        <w:sectPr>
          <w:footnotePr>
            <w:numFmt w:val="decimal"/>
          </w:footnotePr>
          <w:type w:val="continuous"/>
          <w:pgSz w:w="12240" w:h="15840"/>
          <w:pgMar w:left="2088" w:right="720" w:gutter="0" w:header="432" w:top="1915" w:footer="360" w:bottom="1613"/>
          <w:cols w:num="2" w:space="708" w:equalWidth="true" w:sep="false"/>
          <w:formProt w:val="false"/>
          <w:titlePg/>
          <w:textDirection w:val="lrTb"/>
          <w:docGrid w:type="default" w:linePitch="360" w:charSpace="0"/>
        </w:sectPr>
      </w:pPr>
    </w:p>
    <w:p>
      <w:pPr>
        <w:pStyle w:val="Normal"/>
        <w:spacing w:lineRule="exact" w:line="240"/>
        <w:rPr/>
      </w:pPr>
      <w:r>
        <w:rPr/>
        <w:t>2100 N. Central Avenue, Suite 210</w:t>
      </w:r>
    </w:p>
    <w:p>
      <w:pPr>
        <w:pStyle w:val="Normal"/>
        <w:spacing w:lineRule="exact" w:line="240"/>
        <w:rPr/>
      </w:pPr>
      <w:r>
        <w:rPr/>
        <w:t>Phoenix, Arizona  85067</w:t>
      </w:r>
    </w:p>
    <w:p>
      <w:pPr>
        <w:pStyle w:val="Normal"/>
        <w:spacing w:lineRule="exact" w:line="240"/>
        <w:rPr/>
      </w:pPr>
      <w:r>
        <w:rPr/>
      </w:r>
    </w:p>
    <w:p>
      <w:pPr>
        <w:pStyle w:val="Normal"/>
        <w:spacing w:lineRule="exact" w:line="240" w:before="0" w:after="120"/>
        <w:rPr/>
      </w:pPr>
      <w:r>
        <w:rPr/>
      </w:r>
    </w:p>
    <w:p>
      <w:pPr>
        <w:pStyle w:val="Normal"/>
        <w:spacing w:lineRule="exact" w:line="240" w:before="0" w:after="120"/>
        <w:rPr/>
      </w:pPr>
      <w:r>
        <w:rPr/>
        <w:t>___________________________________</w:t>
      </w:r>
    </w:p>
    <w:p>
      <w:pPr>
        <w:pStyle w:val="Normal"/>
        <w:spacing w:lineRule="exact" w:line="240" w:before="0" w:after="120"/>
        <w:rPr/>
      </w:pPr>
      <w:r>
        <w:rPr/>
        <w:t>Judith Borrego</w:t>
      </w:r>
    </w:p>
    <w:p>
      <w:pPr>
        <w:pStyle w:val="Normal"/>
        <w:spacing w:lineRule="exact" w:line="240" w:before="0" w:after="120"/>
        <w:rPr/>
      </w:pPr>
      <w:r>
        <w:rPr/>
      </w:r>
    </w:p>
    <w:p>
      <w:pPr>
        <w:pStyle w:val="Normal"/>
        <w:spacing w:lineRule="exact" w:line="240" w:before="0" w:after="120"/>
        <w:rPr/>
      </w:pPr>
      <w:r>
        <w:rPr/>
      </w:r>
    </w:p>
    <w:p>
      <w:pPr>
        <w:pStyle w:val="Normal"/>
        <w:spacing w:lineRule="exact" w:line="240" w:before="0" w:after="120"/>
        <w:rPr/>
      </w:pPr>
      <w:r>
        <w:rPr/>
      </w:r>
    </w:p>
    <w:p>
      <w:pPr>
        <w:pStyle w:val="Normal"/>
        <w:spacing w:lineRule="exact" w:line="240" w:before="0" w:after="120"/>
        <w:rPr/>
      </w:pPr>
      <w:r>
        <w:rPr/>
      </w:r>
    </w:p>
    <w:sectPr>
      <w:footnotePr>
        <w:numFmt w:val="decimal"/>
      </w:footnotePr>
      <w:type w:val="continuous"/>
      <w:pgSz w:w="12240" w:h="15840"/>
      <w:pgMar w:left="2088" w:right="720" w:gutter="0" w:header="432" w:top="1915" w:footer="360" w:bottom="161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EngravrsRoman BT">
    <w:altName w:val="Bookman Old Style"/>
    <w:charset w:val="00" w:characterSet="windows-1252"/>
    <w:family w:val="roman"/>
    <w:pitch w:val="variable"/>
  </w:font>
  <w:font w:name="Courier New">
    <w:charset w:val="00" w:characterSet="windows-1252"/>
    <w:family w:val="modern"/>
    <w:pitch w:val="default"/>
  </w:font>
  <w:font w:name="GoudyOlSt BT">
    <w:altName w:val="Arrus BT"/>
    <w:charset w:val="00" w:characterSet="windows-1252"/>
    <w:family w:val="roman"/>
    <w:pitch w:val="variable"/>
  </w:font>
  <w:font w:name="Goudy Old Style">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0" w:type="dxa"/>
      <w:jc w:val="start"/>
      <w:tblInd w:w="-1786" w:type="dxa"/>
      <w:tblLayout w:type="fixed"/>
      <w:tblCellMar>
        <w:top w:w="0" w:type="dxa"/>
        <w:start w:w="108" w:type="dxa"/>
        <w:bottom w:w="0" w:type="dxa"/>
        <w:end w:w="108" w:type="dxa"/>
      </w:tblCellMar>
    </w:tblPr>
    <w:tblGrid>
      <w:gridCol w:w="1890"/>
      <w:gridCol w:w="3600"/>
      <w:gridCol w:w="1350"/>
      <w:gridCol w:w="4590"/>
    </w:tblGrid>
    <w:tr>
      <w:trPr>
        <w:trHeight w:val="620" w:hRule="exact"/>
      </w:trPr>
      <w:tc>
        <w:tcPr>
          <w:tcW w:w="1890" w:type="dxa"/>
          <w:tcBorders/>
        </w:tcPr>
        <w:p>
          <w:pPr>
            <w:pStyle w:val="Footer"/>
            <w:snapToGrid w:val="false"/>
            <w:spacing w:lineRule="exact" w:line="160"/>
            <w:ind w:start="-58" w:end="0"/>
            <w:jc w:val="center"/>
            <w:rPr>
              <w:rFonts w:ascii="EngravrsRoman BT;Bookman Old Style" w:hAnsi="EngravrsRoman BT;Bookman Old Style" w:cs="EngravrsRoman BT;Bookman Old Style"/>
              <w:smallCaps/>
              <w:spacing w:val="10"/>
              <w:sz w:val="16"/>
            </w:rPr>
          </w:pPr>
          <w:r>
            <w:rPr>
              <w:rFonts w:cs="EngravrsRoman BT;Bookman Old Style" w:ascii="EngravrsRoman BT;Bookman Old Style" w:hAnsi="EngravrsRoman BT;Bookman Old Style"/>
              <w:smallCaps/>
              <w:spacing w:val="10"/>
              <w:sz w:val="16"/>
            </w:rPr>
          </w:r>
        </w:p>
      </w:tc>
      <w:tc>
        <w:tcPr>
          <w:tcW w:w="3600" w:type="dxa"/>
          <w:tcBorders/>
        </w:tcPr>
        <w:p>
          <w:pPr>
            <w:pStyle w:val="Footer"/>
            <w:snapToGrid w:val="false"/>
            <w:spacing w:before="220" w:after="0"/>
            <w:ind w:start="-86" w:end="0"/>
            <w:rPr>
              <w:rFonts w:ascii="EngravrsRoman BT;Bookman Old Style" w:hAnsi="EngravrsRoman BT;Bookman Old Style" w:cs="EngravrsRoman BT;Bookman Old Style"/>
              <w:smallCaps/>
              <w:spacing w:val="10"/>
              <w:sz w:val="16"/>
            </w:rPr>
          </w:pPr>
          <w:r>
            <w:rPr>
              <w:rFonts w:cs="EngravrsRoman BT;Bookman Old Style" w:ascii="EngravrsRoman BT;Bookman Old Style" w:hAnsi="EngravrsRoman BT;Bookman Old Style"/>
              <w:smallCaps/>
              <w:spacing w:val="10"/>
              <w:sz w:val="16"/>
            </w:rPr>
          </w:r>
        </w:p>
      </w:tc>
      <w:tc>
        <w:tcPr>
          <w:tcW w:w="1350" w:type="dxa"/>
          <w:tcBorders/>
        </w:tcPr>
        <w:p>
          <w:pPr>
            <w:pStyle w:val="Footer"/>
            <w:spacing w:before="400" w:after="0"/>
            <w:ind w:start="-86" w:end="0"/>
            <w:jc w:val="end"/>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tc>
      <w:tc>
        <w:tcPr>
          <w:tcW w:w="4590" w:type="dxa"/>
          <w:tcBorders/>
        </w:tcPr>
        <w:p>
          <w:pPr>
            <w:pStyle w:val="Footer"/>
            <w:tabs>
              <w:tab w:val="center" w:pos="4680" w:leader="none"/>
              <w:tab w:val="right" w:pos="5014" w:leader="none"/>
              <w:tab w:val="right" w:pos="9360" w:leader="none"/>
            </w:tabs>
            <w:snapToGrid w:val="false"/>
            <w:spacing w:before="220" w:after="0"/>
            <w:ind w:end="144"/>
            <w:jc w:val="end"/>
            <w:rPr>
              <w:rStyle w:val="PageNumber"/>
              <w:sz w:val="20"/>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0" w:type="dxa"/>
      <w:jc w:val="start"/>
      <w:tblInd w:w="-1786" w:type="dxa"/>
      <w:tblLayout w:type="fixed"/>
      <w:tblCellMar>
        <w:top w:w="0" w:type="dxa"/>
        <w:start w:w="108" w:type="dxa"/>
        <w:bottom w:w="0" w:type="dxa"/>
        <w:end w:w="108" w:type="dxa"/>
      </w:tblCellMar>
    </w:tblPr>
    <w:tblGrid>
      <w:gridCol w:w="1890"/>
      <w:gridCol w:w="3600"/>
      <w:gridCol w:w="1350"/>
      <w:gridCol w:w="4590"/>
    </w:tblGrid>
    <w:tr>
      <w:trPr>
        <w:trHeight w:val="620" w:hRule="exact"/>
      </w:trPr>
      <w:tc>
        <w:tcPr>
          <w:tcW w:w="1890" w:type="dxa"/>
          <w:tcBorders/>
        </w:tcPr>
        <w:p>
          <w:pPr>
            <w:pStyle w:val="Footer"/>
            <w:snapToGrid w:val="false"/>
            <w:spacing w:lineRule="exact" w:line="160"/>
            <w:ind w:start="-58" w:end="0"/>
            <w:jc w:val="center"/>
            <w:rPr>
              <w:rFonts w:ascii="EngravrsRoman BT;Bookman Old Style" w:hAnsi="EngravrsRoman BT;Bookman Old Style" w:cs="EngravrsRoman BT;Bookman Old Style"/>
              <w:smallCaps/>
              <w:spacing w:val="10"/>
              <w:sz w:val="16"/>
            </w:rPr>
          </w:pPr>
          <w:r>
            <w:rPr>
              <w:rFonts w:cs="EngravrsRoman BT;Bookman Old Style" w:ascii="EngravrsRoman BT;Bookman Old Style" w:hAnsi="EngravrsRoman BT;Bookman Old Style"/>
              <w:smallCaps/>
              <w:spacing w:val="10"/>
              <w:sz w:val="16"/>
            </w:rPr>
          </w:r>
        </w:p>
      </w:tc>
      <w:tc>
        <w:tcPr>
          <w:tcW w:w="3600" w:type="dxa"/>
          <w:tcBorders/>
        </w:tcPr>
        <w:p>
          <w:pPr>
            <w:pStyle w:val="Footer"/>
            <w:snapToGrid w:val="false"/>
            <w:spacing w:before="220" w:after="0"/>
            <w:ind w:start="-86" w:end="0"/>
            <w:rPr>
              <w:rFonts w:ascii="EngravrsRoman BT;Bookman Old Style" w:hAnsi="EngravrsRoman BT;Bookman Old Style" w:cs="EngravrsRoman BT;Bookman Old Style"/>
              <w:smallCaps/>
              <w:spacing w:val="10"/>
              <w:sz w:val="16"/>
            </w:rPr>
          </w:pPr>
          <w:r>
            <w:rPr>
              <w:rFonts w:cs="EngravrsRoman BT;Bookman Old Style" w:ascii="EngravrsRoman BT;Bookman Old Style" w:hAnsi="EngravrsRoman BT;Bookman Old Style"/>
              <w:smallCaps/>
              <w:spacing w:val="10"/>
              <w:sz w:val="16"/>
            </w:rPr>
          </w:r>
        </w:p>
      </w:tc>
      <w:tc>
        <w:tcPr>
          <w:tcW w:w="1350" w:type="dxa"/>
          <w:tcBorders/>
        </w:tcPr>
        <w:p>
          <w:pPr>
            <w:pStyle w:val="Footer"/>
            <w:snapToGrid w:val="false"/>
            <w:spacing w:before="400" w:after="0"/>
            <w:ind w:start="-86" w:end="0"/>
            <w:jc w:val="end"/>
            <w:rPr>
              <w:rStyle w:val="PageNumber"/>
            </w:rPr>
          </w:pPr>
          <w:r>
            <w:rPr/>
          </w:r>
        </w:p>
      </w:tc>
      <w:tc>
        <w:tcPr>
          <w:tcW w:w="4590" w:type="dxa"/>
          <w:tcBorders/>
        </w:tcPr>
        <w:p>
          <w:pPr>
            <w:pStyle w:val="Footer"/>
            <w:tabs>
              <w:tab w:val="center" w:pos="4680" w:leader="none"/>
              <w:tab w:val="right" w:pos="5014" w:leader="none"/>
              <w:tab w:val="right" w:pos="9360" w:leader="none"/>
            </w:tabs>
            <w:snapToGrid w:val="false"/>
            <w:spacing w:before="220" w:after="0"/>
            <w:ind w:end="144"/>
            <w:jc w:val="end"/>
            <w:rPr>
              <w:rStyle w:val="PageNumber"/>
              <w:sz w:val="20"/>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rPr>
        <w:t>Intervenors had determined that it would have been inappropriate to disturb an already negotiated settlement so long as it was still pending before the Commission.</w:t>
      </w:r>
    </w:p>
  </w:footnote>
  <w:footnote w:id="3">
    <w:p>
      <w:pPr>
        <w:pStyle w:val="FootnoteText"/>
        <w:rPr/>
      </w:pPr>
      <w:r>
        <w:rPr>
          <w:rStyle w:val="FootnoteCharacters"/>
        </w:rPr>
        <w:footnoteRef/>
      </w:r>
      <w:r>
        <w:rPr/>
        <w:t xml:space="preserve"> </w:t>
      </w:r>
      <w:r>
        <w:rPr/>
        <w:t>A positive imbalance is when the third-party shipper such as Enron delivers more gas to Southwest than Enron’s direct access customers actually consume.  For some period, a shipper can either try to liquidate its positive or negative “imbalance” by creating a subsequent and equal imbalance of the opposite sign or by trading imbalances with another shipper.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7110730" cy="9448800"/>
              <wp:effectExtent l="0" t="0" r="0" b="0"/>
              <wp:wrapNone/>
              <wp:docPr id="1" name="Frame2"/>
              <a:graphic xmlns:a="http://schemas.openxmlformats.org/drawingml/2006/main">
                <a:graphicData uri="http://schemas.microsoft.com/office/word/2010/wordprocessingShape">
                  <wps:wsp>
                    <wps:cNvSpPr txBox="1"/>
                    <wps:spPr>
                      <a:xfrm>
                        <a:off x="0" y="0"/>
                        <a:ext cx="7110730" cy="9448800"/>
                      </a:xfrm>
                      <a:prstGeom prst="rect"/>
                      <a:solidFill>
                        <a:srgbClr val="FFFFFF"/>
                      </a:solidFill>
                    </wps:spPr>
                    <wps:txbx>
                      <w:txbxContent>
                        <w:tbl>
                          <w:tblPr>
                            <w:tblW w:w="11198" w:type="dxa"/>
                            <w:jc w:val="start"/>
                            <w:tblInd w:w="-1728" w:type="dxa"/>
                            <w:tblLayout w:type="fixed"/>
                            <w:tblCellMar>
                              <w:top w:w="0" w:type="dxa"/>
                              <w:start w:w="0" w:type="dxa"/>
                              <w:bottom w:w="0" w:type="dxa"/>
                              <w:end w:w="0" w:type="dxa"/>
                            </w:tblCellMar>
                          </w:tblPr>
                          <w:tblGrid>
                            <w:gridCol w:w="878"/>
                            <w:gridCol w:w="648"/>
                            <w:gridCol w:w="9672"/>
                          </w:tblGrid>
                          <w:tr>
                            <w:trPr>
                              <w:trHeight w:val="14880" w:hRule="exact"/>
                            </w:trPr>
                            <w:tc>
                              <w:tcPr>
                                <w:tcW w:w="878" w:type="dxa"/>
                                <w:tcBorders/>
                                <w:textDirection w:val="btLr"/>
                              </w:tcPr>
                              <w:p>
                                <w:pPr>
                                  <w:pStyle w:val="Normal"/>
                                  <w:spacing w:lineRule="exact" w:line="240"/>
                                  <w:ind w:start="115" w:end="115"/>
                                  <w:jc w:val="center"/>
                                  <w:rPr>
                                    <w:rFonts w:ascii="GoudyOlSt BT;Arrus BT" w:hAnsi="GoudyOlSt BT;Arrus BT" w:cs="GoudyOlSt BT;Arrus BT"/>
                                    <w:caps/>
                                    <w:outline/>
                                    <w:position w:val="6"/>
                                    <w:sz w:val="28"/>
                                  </w:rPr>
                                </w:pPr>
                                <w:r>
                                  <w:rPr>
                                    <w:rFonts w:cs="GoudyOlSt BT;Arrus BT" w:ascii="GoudyOlSt BT;Arrus BT" w:hAnsi="GoudyOlSt BT;Arrus BT"/>
                                    <w:sz w:val="28"/>
                                  </w:rPr>
                                  <w:t>Snell &amp; Wilmer</w:t>
                                </w:r>
                              </w:p>
                              <w:p>
                                <w:pPr>
                                  <w:pStyle w:val="Normal"/>
                                  <w:spacing w:lineRule="exact" w:line="140"/>
                                  <w:ind w:start="115" w:end="115"/>
                                  <w:jc w:val="center"/>
                                  <w:rPr>
                                    <w:rFonts w:ascii="Goudy Old Style;Times New Roman" w:hAnsi="Goudy Old Style;Times New Roman" w:cs="Goudy Old Style;Times New Roman"/>
                                    <w:sz w:val="12"/>
                                  </w:rPr>
                                </w:pPr>
                                <w:r>
                                  <w:rPr>
                                    <w:rFonts w:cs="Goudy Old Style;Times New Roman" w:ascii="Goudy Old Style;Times New Roman" w:hAnsi="Goudy Old Style;Times New Roman"/>
                                    <w:caps/>
                                    <w:outline/>
                                    <w:position w:val="8"/>
                                    <w:sz w:val="12"/>
                                  </w:rPr>
                                  <w:t>___________</w:t>
                                </w:r>
                                <w:r>
                                  <w:rPr>
                                    <w:rFonts w:cs="Goudy Old Style;Times New Roman" w:ascii="Goudy Old Style;Times New Roman" w:hAnsi="Goudy Old Style;Times New Roman"/>
                                    <w:caps/>
                                    <w:position w:val="2"/>
                                    <w:sz w:val="12"/>
                                  </w:rPr>
                                  <w:t xml:space="preserve">  L.L.P.</w:t>
                                </w:r>
                                <w:r>
                                  <w:rPr>
                                    <w:rFonts w:cs="Goudy Old Style;Times New Roman" w:ascii="Goudy Old Style;Times New Roman" w:hAnsi="Goudy Old Style;Times New Roman"/>
                                    <w:caps/>
                                    <w:position w:val="-2"/>
                                    <w:sz w:val="12"/>
                                  </w:rPr>
                                  <w:t xml:space="preserve"> </w:t>
                                </w:r>
                                <w:r>
                                  <w:rPr>
                                    <w:rFonts w:cs="Goudy Old Style;Times New Roman" w:ascii="Goudy Old Style;Times New Roman" w:hAnsi="Goudy Old Style;Times New Roman"/>
                                    <w:caps/>
                                    <w:outline/>
                                    <w:position w:val="8"/>
                                    <w:sz w:val="12"/>
                                  </w:rPr>
                                  <w:t>___________</w:t>
                                </w:r>
                              </w:p>
                              <w:p>
                                <w:pPr>
                                  <w:pStyle w:val="Normal"/>
                                  <w:spacing w:lineRule="exact" w:line="120"/>
                                  <w:jc w:val="center"/>
                                  <w:rPr>
                                    <w:rFonts w:ascii="Goudy Old Style;Times New Roman" w:hAnsi="Goudy Old Style;Times New Roman" w:cs="Goudy Old Style;Times New Roman"/>
                                    <w:caps/>
                                    <w:spacing w:val="10"/>
                                    <w:sz w:val="12"/>
                                  </w:rPr>
                                </w:pPr>
                                <w:r>
                                  <w:rPr>
                                    <w:rFonts w:cs="Goudy Old Style;Times New Roman" w:ascii="Goudy Old Style;Times New Roman" w:hAnsi="Goudy Old Style;Times New Roman"/>
                                    <w:caps/>
                                    <w:spacing w:val="10"/>
                                    <w:sz w:val="12"/>
                                  </w:rPr>
                                  <w:t>Law Offices</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One Arizona Center, 400 E. Van Buren</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Phoenix, Arizona 85004-2202</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(602) 382-6000</w:t>
                                </w:r>
                              </w:p>
                              <w:p>
                                <w:pPr>
                                  <w:pStyle w:val="HeaderNumbers"/>
                                  <w:spacing w:lineRule="exact" w:line="140" w:before="0" w:after="0"/>
                                  <w:ind w:start="113" w:end="113"/>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r>
                              </w:p>
                            </w:tc>
                            <w:tc>
                              <w:tcPr>
                                <w:tcW w:w="648" w:type="dxa"/>
                                <w:tcBorders>
                                  <w:end w:val="double" w:sz="6" w:space="0" w:color="000000"/>
                                </w:tcBorders>
                              </w:tcPr>
                              <w:p>
                                <w:pPr>
                                  <w:pStyle w:val="HeaderNumbers"/>
                                  <w:spacing w:before="1320" w:after="0"/>
                                  <w:ind w:start="115"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59.9pt;height:744pt;mso-wrap-distance-left:0pt;mso-wrap-distance-right:0pt;mso-wrap-distance-top:0pt;mso-wrap-distance-bottom:0pt;margin-top:0pt;mso-position-vertical:top;mso-position-vertical-relative:text;margin-left:-52.35pt;mso-position-horizontal:left;mso-position-horizontal-relative:text">
              <v:textbox inset="0in,0in,0in,0in">
                <w:txbxContent>
                  <w:tbl>
                    <w:tblPr>
                      <w:tblW w:w="11198" w:type="dxa"/>
                      <w:jc w:val="start"/>
                      <w:tblInd w:w="-1728" w:type="dxa"/>
                      <w:tblLayout w:type="fixed"/>
                      <w:tblCellMar>
                        <w:top w:w="0" w:type="dxa"/>
                        <w:start w:w="0" w:type="dxa"/>
                        <w:bottom w:w="0" w:type="dxa"/>
                        <w:end w:w="0" w:type="dxa"/>
                      </w:tblCellMar>
                    </w:tblPr>
                    <w:tblGrid>
                      <w:gridCol w:w="878"/>
                      <w:gridCol w:w="648"/>
                      <w:gridCol w:w="9672"/>
                    </w:tblGrid>
                    <w:tr>
                      <w:trPr>
                        <w:trHeight w:val="14880" w:hRule="exact"/>
                      </w:trPr>
                      <w:tc>
                        <w:tcPr>
                          <w:tcW w:w="878" w:type="dxa"/>
                          <w:tcBorders/>
                          <w:textDirection w:val="btLr"/>
                        </w:tcPr>
                        <w:p>
                          <w:pPr>
                            <w:pStyle w:val="Normal"/>
                            <w:spacing w:lineRule="exact" w:line="240"/>
                            <w:ind w:start="115" w:end="115"/>
                            <w:jc w:val="center"/>
                            <w:rPr>
                              <w:rFonts w:ascii="GoudyOlSt BT;Arrus BT" w:hAnsi="GoudyOlSt BT;Arrus BT" w:cs="GoudyOlSt BT;Arrus BT"/>
                              <w:caps/>
                              <w:outline/>
                              <w:position w:val="6"/>
                              <w:sz w:val="28"/>
                            </w:rPr>
                          </w:pPr>
                          <w:r>
                            <w:rPr>
                              <w:rFonts w:cs="GoudyOlSt BT;Arrus BT" w:ascii="GoudyOlSt BT;Arrus BT" w:hAnsi="GoudyOlSt BT;Arrus BT"/>
                              <w:sz w:val="28"/>
                            </w:rPr>
                            <w:t>Snell &amp; Wilmer</w:t>
                          </w:r>
                        </w:p>
                        <w:p>
                          <w:pPr>
                            <w:pStyle w:val="Normal"/>
                            <w:spacing w:lineRule="exact" w:line="140"/>
                            <w:ind w:start="115" w:end="115"/>
                            <w:jc w:val="center"/>
                            <w:rPr>
                              <w:rFonts w:ascii="Goudy Old Style;Times New Roman" w:hAnsi="Goudy Old Style;Times New Roman" w:cs="Goudy Old Style;Times New Roman"/>
                              <w:sz w:val="12"/>
                            </w:rPr>
                          </w:pPr>
                          <w:r>
                            <w:rPr>
                              <w:rFonts w:cs="Goudy Old Style;Times New Roman" w:ascii="Goudy Old Style;Times New Roman" w:hAnsi="Goudy Old Style;Times New Roman"/>
                              <w:caps/>
                              <w:outline/>
                              <w:position w:val="8"/>
                              <w:sz w:val="12"/>
                            </w:rPr>
                            <w:t>___________</w:t>
                          </w:r>
                          <w:r>
                            <w:rPr>
                              <w:rFonts w:cs="Goudy Old Style;Times New Roman" w:ascii="Goudy Old Style;Times New Roman" w:hAnsi="Goudy Old Style;Times New Roman"/>
                              <w:caps/>
                              <w:position w:val="2"/>
                              <w:sz w:val="12"/>
                            </w:rPr>
                            <w:t xml:space="preserve">  L.L.P.</w:t>
                          </w:r>
                          <w:r>
                            <w:rPr>
                              <w:rFonts w:cs="Goudy Old Style;Times New Roman" w:ascii="Goudy Old Style;Times New Roman" w:hAnsi="Goudy Old Style;Times New Roman"/>
                              <w:caps/>
                              <w:position w:val="-2"/>
                              <w:sz w:val="12"/>
                            </w:rPr>
                            <w:t xml:space="preserve"> </w:t>
                          </w:r>
                          <w:r>
                            <w:rPr>
                              <w:rFonts w:cs="Goudy Old Style;Times New Roman" w:ascii="Goudy Old Style;Times New Roman" w:hAnsi="Goudy Old Style;Times New Roman"/>
                              <w:caps/>
                              <w:outline/>
                              <w:position w:val="8"/>
                              <w:sz w:val="12"/>
                            </w:rPr>
                            <w:t>___________</w:t>
                          </w:r>
                        </w:p>
                        <w:p>
                          <w:pPr>
                            <w:pStyle w:val="Normal"/>
                            <w:spacing w:lineRule="exact" w:line="120"/>
                            <w:jc w:val="center"/>
                            <w:rPr>
                              <w:rFonts w:ascii="Goudy Old Style;Times New Roman" w:hAnsi="Goudy Old Style;Times New Roman" w:cs="Goudy Old Style;Times New Roman"/>
                              <w:caps/>
                              <w:spacing w:val="10"/>
                              <w:sz w:val="12"/>
                            </w:rPr>
                          </w:pPr>
                          <w:r>
                            <w:rPr>
                              <w:rFonts w:cs="Goudy Old Style;Times New Roman" w:ascii="Goudy Old Style;Times New Roman" w:hAnsi="Goudy Old Style;Times New Roman"/>
                              <w:caps/>
                              <w:spacing w:val="10"/>
                              <w:sz w:val="12"/>
                            </w:rPr>
                            <w:t>Law Offices</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One Arizona Center, 400 E. Van Buren</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Phoenix, Arizona 85004-2202</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(602) 382-6000</w:t>
                          </w:r>
                        </w:p>
                        <w:p>
                          <w:pPr>
                            <w:pStyle w:val="HeaderNumbers"/>
                            <w:spacing w:lineRule="exact" w:line="140" w:before="0" w:after="0"/>
                            <w:ind w:start="113" w:end="113"/>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r>
                        </w:p>
                      </w:tc>
                      <w:tc>
                        <w:tcPr>
                          <w:tcW w:w="648" w:type="dxa"/>
                          <w:tcBorders>
                            <w:end w:val="double" w:sz="6" w:space="0" w:color="000000"/>
                          </w:tcBorders>
                        </w:tcPr>
                        <w:p>
                          <w:pPr>
                            <w:pStyle w:val="HeaderNumbers"/>
                            <w:spacing w:before="1320" w:after="0"/>
                            <w:ind w:start="115"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2">
              <wp:simplePos x="0" y="0"/>
              <wp:positionH relativeFrom="column">
                <wp:align>left</wp:align>
              </wp:positionH>
              <wp:positionV relativeFrom="line">
                <wp:posOffset>635</wp:posOffset>
              </wp:positionV>
              <wp:extent cx="7110730" cy="9448800"/>
              <wp:effectExtent l="0" t="0" r="0" b="0"/>
              <wp:wrapNone/>
              <wp:docPr id="2" name="Frame1"/>
              <a:graphic xmlns:a="http://schemas.openxmlformats.org/drawingml/2006/main">
                <a:graphicData uri="http://schemas.microsoft.com/office/word/2010/wordprocessingShape">
                  <wps:wsp>
                    <wps:cNvSpPr txBox="1"/>
                    <wps:spPr>
                      <a:xfrm>
                        <a:off x="0" y="0"/>
                        <a:ext cx="7110730" cy="9448800"/>
                      </a:xfrm>
                      <a:prstGeom prst="rect"/>
                      <a:solidFill>
                        <a:srgbClr val="FFFFFF"/>
                      </a:solidFill>
                    </wps:spPr>
                    <wps:txbx>
                      <w:txbxContent>
                        <w:tbl>
                          <w:tblPr>
                            <w:tblW w:w="11198" w:type="dxa"/>
                            <w:jc w:val="start"/>
                            <w:tblInd w:w="-1728" w:type="dxa"/>
                            <w:tblLayout w:type="fixed"/>
                            <w:tblCellMar>
                              <w:top w:w="0" w:type="dxa"/>
                              <w:start w:w="0" w:type="dxa"/>
                              <w:bottom w:w="0" w:type="dxa"/>
                              <w:end w:w="0" w:type="dxa"/>
                            </w:tblCellMar>
                          </w:tblPr>
                          <w:tblGrid>
                            <w:gridCol w:w="878"/>
                            <w:gridCol w:w="648"/>
                            <w:gridCol w:w="9672"/>
                          </w:tblGrid>
                          <w:tr>
                            <w:trPr>
                              <w:trHeight w:val="14880" w:hRule="exact"/>
                            </w:trPr>
                            <w:tc>
                              <w:tcPr>
                                <w:tcW w:w="878" w:type="dxa"/>
                                <w:tcBorders/>
                                <w:textDirection w:val="btLr"/>
                              </w:tcPr>
                              <w:p>
                                <w:pPr>
                                  <w:pStyle w:val="Normal"/>
                                  <w:spacing w:lineRule="exact" w:line="240"/>
                                  <w:ind w:start="115" w:end="115"/>
                                  <w:jc w:val="center"/>
                                  <w:rPr>
                                    <w:rFonts w:ascii="GoudyOlSt BT;Arrus BT" w:hAnsi="GoudyOlSt BT;Arrus BT" w:cs="GoudyOlSt BT;Arrus BT"/>
                                    <w:caps/>
                                    <w:outline/>
                                    <w:position w:val="6"/>
                                    <w:sz w:val="28"/>
                                  </w:rPr>
                                </w:pPr>
                                <w:r>
                                  <w:rPr>
                                    <w:rFonts w:cs="GoudyOlSt BT;Arrus BT" w:ascii="GoudyOlSt BT;Arrus BT" w:hAnsi="GoudyOlSt BT;Arrus BT"/>
                                    <w:sz w:val="28"/>
                                  </w:rPr>
                                  <w:t>Snell &amp; Wilmer</w:t>
                                </w:r>
                              </w:p>
                              <w:p>
                                <w:pPr>
                                  <w:pStyle w:val="Normal"/>
                                  <w:spacing w:lineRule="exact" w:line="140"/>
                                  <w:ind w:start="115" w:end="115"/>
                                  <w:jc w:val="center"/>
                                  <w:rPr>
                                    <w:rFonts w:ascii="Goudy Old Style;Times New Roman" w:hAnsi="Goudy Old Style;Times New Roman" w:cs="Goudy Old Style;Times New Roman"/>
                                    <w:sz w:val="12"/>
                                  </w:rPr>
                                </w:pPr>
                                <w:r>
                                  <w:rPr>
                                    <w:rFonts w:cs="Goudy Old Style;Times New Roman" w:ascii="Goudy Old Style;Times New Roman" w:hAnsi="Goudy Old Style;Times New Roman"/>
                                    <w:caps/>
                                    <w:outline/>
                                    <w:position w:val="8"/>
                                    <w:sz w:val="12"/>
                                  </w:rPr>
                                  <w:t>___________</w:t>
                                </w:r>
                                <w:r>
                                  <w:rPr>
                                    <w:rFonts w:cs="Goudy Old Style;Times New Roman" w:ascii="Goudy Old Style;Times New Roman" w:hAnsi="Goudy Old Style;Times New Roman"/>
                                    <w:caps/>
                                    <w:position w:val="2"/>
                                    <w:sz w:val="12"/>
                                  </w:rPr>
                                  <w:t xml:space="preserve">  L.L.P.</w:t>
                                </w:r>
                                <w:r>
                                  <w:rPr>
                                    <w:rFonts w:cs="Goudy Old Style;Times New Roman" w:ascii="Goudy Old Style;Times New Roman" w:hAnsi="Goudy Old Style;Times New Roman"/>
                                    <w:caps/>
                                    <w:position w:val="-2"/>
                                    <w:sz w:val="12"/>
                                  </w:rPr>
                                  <w:t xml:space="preserve"> </w:t>
                                </w:r>
                                <w:r>
                                  <w:rPr>
                                    <w:rFonts w:cs="Goudy Old Style;Times New Roman" w:ascii="Goudy Old Style;Times New Roman" w:hAnsi="Goudy Old Style;Times New Roman"/>
                                    <w:caps/>
                                    <w:outline/>
                                    <w:position w:val="8"/>
                                    <w:sz w:val="12"/>
                                  </w:rPr>
                                  <w:t>___________</w:t>
                                </w:r>
                              </w:p>
                              <w:p>
                                <w:pPr>
                                  <w:pStyle w:val="Normal"/>
                                  <w:spacing w:lineRule="exact" w:line="120"/>
                                  <w:jc w:val="center"/>
                                  <w:rPr>
                                    <w:rFonts w:ascii="Goudy Old Style;Times New Roman" w:hAnsi="Goudy Old Style;Times New Roman" w:cs="Goudy Old Style;Times New Roman"/>
                                    <w:caps/>
                                    <w:spacing w:val="10"/>
                                    <w:sz w:val="12"/>
                                  </w:rPr>
                                </w:pPr>
                                <w:r>
                                  <w:rPr>
                                    <w:rFonts w:cs="Goudy Old Style;Times New Roman" w:ascii="Goudy Old Style;Times New Roman" w:hAnsi="Goudy Old Style;Times New Roman"/>
                                    <w:caps/>
                                    <w:spacing w:val="10"/>
                                    <w:sz w:val="12"/>
                                  </w:rPr>
                                  <w:t>Law Offices</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One Arizona Center, 400 E. Van Buren</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Phoenix, Arizona 85004-2202</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(602) 382-6000</w:t>
                                </w:r>
                              </w:p>
                              <w:p>
                                <w:pPr>
                                  <w:pStyle w:val="HeaderNumbers"/>
                                  <w:spacing w:lineRule="exact" w:line="140" w:before="0" w:after="0"/>
                                  <w:ind w:start="113" w:end="113"/>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r>
                              </w:p>
                            </w:tc>
                            <w:tc>
                              <w:tcPr>
                                <w:tcW w:w="648" w:type="dxa"/>
                                <w:tcBorders>
                                  <w:end w:val="double" w:sz="6" w:space="0" w:color="000000"/>
                                </w:tcBorders>
                              </w:tcPr>
                              <w:p>
                                <w:pPr>
                                  <w:pStyle w:val="HeaderNumbers"/>
                                  <w:spacing w:before="1320" w:after="0"/>
                                  <w:ind w:start="115"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59.9pt;height:744pt;mso-wrap-distance-left:0pt;mso-wrap-distance-right:0pt;mso-wrap-distance-top:0pt;mso-wrap-distance-bottom:0pt;margin-top:0pt;mso-position-vertical:top;mso-position-vertical-relative:text;margin-left:-52.35pt;mso-position-horizontal:left;mso-position-horizontal-relative:text">
              <v:textbox inset="0in,0in,0in,0in">
                <w:txbxContent>
                  <w:tbl>
                    <w:tblPr>
                      <w:tblW w:w="11198" w:type="dxa"/>
                      <w:jc w:val="start"/>
                      <w:tblInd w:w="-1728" w:type="dxa"/>
                      <w:tblLayout w:type="fixed"/>
                      <w:tblCellMar>
                        <w:top w:w="0" w:type="dxa"/>
                        <w:start w:w="0" w:type="dxa"/>
                        <w:bottom w:w="0" w:type="dxa"/>
                        <w:end w:w="0" w:type="dxa"/>
                      </w:tblCellMar>
                    </w:tblPr>
                    <w:tblGrid>
                      <w:gridCol w:w="878"/>
                      <w:gridCol w:w="648"/>
                      <w:gridCol w:w="9672"/>
                    </w:tblGrid>
                    <w:tr>
                      <w:trPr>
                        <w:trHeight w:val="14880" w:hRule="exact"/>
                      </w:trPr>
                      <w:tc>
                        <w:tcPr>
                          <w:tcW w:w="878" w:type="dxa"/>
                          <w:tcBorders/>
                          <w:textDirection w:val="btLr"/>
                        </w:tcPr>
                        <w:p>
                          <w:pPr>
                            <w:pStyle w:val="Normal"/>
                            <w:spacing w:lineRule="exact" w:line="240"/>
                            <w:ind w:start="115" w:end="115"/>
                            <w:jc w:val="center"/>
                            <w:rPr>
                              <w:rFonts w:ascii="GoudyOlSt BT;Arrus BT" w:hAnsi="GoudyOlSt BT;Arrus BT" w:cs="GoudyOlSt BT;Arrus BT"/>
                              <w:caps/>
                              <w:outline/>
                              <w:position w:val="6"/>
                              <w:sz w:val="28"/>
                            </w:rPr>
                          </w:pPr>
                          <w:r>
                            <w:rPr>
                              <w:rFonts w:cs="GoudyOlSt BT;Arrus BT" w:ascii="GoudyOlSt BT;Arrus BT" w:hAnsi="GoudyOlSt BT;Arrus BT"/>
                              <w:sz w:val="28"/>
                            </w:rPr>
                            <w:t>Snell &amp; Wilmer</w:t>
                          </w:r>
                        </w:p>
                        <w:p>
                          <w:pPr>
                            <w:pStyle w:val="Normal"/>
                            <w:spacing w:lineRule="exact" w:line="140"/>
                            <w:ind w:start="115" w:end="115"/>
                            <w:jc w:val="center"/>
                            <w:rPr>
                              <w:rFonts w:ascii="Goudy Old Style;Times New Roman" w:hAnsi="Goudy Old Style;Times New Roman" w:cs="Goudy Old Style;Times New Roman"/>
                              <w:sz w:val="12"/>
                            </w:rPr>
                          </w:pPr>
                          <w:r>
                            <w:rPr>
                              <w:rFonts w:cs="Goudy Old Style;Times New Roman" w:ascii="Goudy Old Style;Times New Roman" w:hAnsi="Goudy Old Style;Times New Roman"/>
                              <w:caps/>
                              <w:outline/>
                              <w:position w:val="8"/>
                              <w:sz w:val="12"/>
                            </w:rPr>
                            <w:t>___________</w:t>
                          </w:r>
                          <w:r>
                            <w:rPr>
                              <w:rFonts w:cs="Goudy Old Style;Times New Roman" w:ascii="Goudy Old Style;Times New Roman" w:hAnsi="Goudy Old Style;Times New Roman"/>
                              <w:caps/>
                              <w:position w:val="2"/>
                              <w:sz w:val="12"/>
                            </w:rPr>
                            <w:t xml:space="preserve">  L.L.P.</w:t>
                          </w:r>
                          <w:r>
                            <w:rPr>
                              <w:rFonts w:cs="Goudy Old Style;Times New Roman" w:ascii="Goudy Old Style;Times New Roman" w:hAnsi="Goudy Old Style;Times New Roman"/>
                              <w:caps/>
                              <w:position w:val="-2"/>
                              <w:sz w:val="12"/>
                            </w:rPr>
                            <w:t xml:space="preserve"> </w:t>
                          </w:r>
                          <w:r>
                            <w:rPr>
                              <w:rFonts w:cs="Goudy Old Style;Times New Roman" w:ascii="Goudy Old Style;Times New Roman" w:hAnsi="Goudy Old Style;Times New Roman"/>
                              <w:caps/>
                              <w:outline/>
                              <w:position w:val="8"/>
                              <w:sz w:val="12"/>
                            </w:rPr>
                            <w:t>___________</w:t>
                          </w:r>
                        </w:p>
                        <w:p>
                          <w:pPr>
                            <w:pStyle w:val="Normal"/>
                            <w:spacing w:lineRule="exact" w:line="120"/>
                            <w:jc w:val="center"/>
                            <w:rPr>
                              <w:rFonts w:ascii="Goudy Old Style;Times New Roman" w:hAnsi="Goudy Old Style;Times New Roman" w:cs="Goudy Old Style;Times New Roman"/>
                              <w:caps/>
                              <w:spacing w:val="10"/>
                              <w:sz w:val="12"/>
                            </w:rPr>
                          </w:pPr>
                          <w:r>
                            <w:rPr>
                              <w:rFonts w:cs="Goudy Old Style;Times New Roman" w:ascii="Goudy Old Style;Times New Roman" w:hAnsi="Goudy Old Style;Times New Roman"/>
                              <w:caps/>
                              <w:spacing w:val="10"/>
                              <w:sz w:val="12"/>
                            </w:rPr>
                            <w:t>Law Offices</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One Arizona Center, 400 E. Van Buren</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Phoenix, Arizona 85004-2202</w:t>
                          </w:r>
                        </w:p>
                        <w:p>
                          <w:pPr>
                            <w:pStyle w:val="Normal"/>
                            <w:spacing w:lineRule="exact" w:line="120"/>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t>(602) 382-6000</w:t>
                          </w:r>
                        </w:p>
                        <w:p>
                          <w:pPr>
                            <w:pStyle w:val="HeaderNumbers"/>
                            <w:spacing w:lineRule="exact" w:line="140" w:before="0" w:after="0"/>
                            <w:ind w:start="113" w:end="113"/>
                            <w:jc w:val="center"/>
                            <w:rPr>
                              <w:rFonts w:ascii="Goudy Old Style;Times New Roman" w:hAnsi="Goudy Old Style;Times New Roman" w:cs="Goudy Old Style;Times New Roman"/>
                              <w:spacing w:val="10"/>
                              <w:sz w:val="12"/>
                            </w:rPr>
                          </w:pPr>
                          <w:r>
                            <w:rPr>
                              <w:rFonts w:cs="Goudy Old Style;Times New Roman" w:ascii="Goudy Old Style;Times New Roman" w:hAnsi="Goudy Old Style;Times New Roman"/>
                              <w:spacing w:val="10"/>
                              <w:sz w:val="12"/>
                            </w:rPr>
                          </w:r>
                        </w:p>
                      </w:tc>
                      <w:tc>
                        <w:tcPr>
                          <w:tcW w:w="648" w:type="dxa"/>
                          <w:tcBorders>
                            <w:end w:val="double" w:sz="6" w:space="0" w:color="000000"/>
                          </w:tcBorders>
                        </w:tcPr>
                        <w:p>
                          <w:pPr>
                            <w:pStyle w:val="HeaderNumbers"/>
                            <w:spacing w:before="1320" w:after="0"/>
                            <w:ind w:start="115"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abstractNum>
  <w:abstractNum w:abstractNumId="3">
    <w:lvl w:ilvl="0">
      <w:start w:val="1"/>
      <w:numFmt w:val="bullet"/>
      <w:lvlText w:val=""/>
      <w:lvlJc w:val="start"/>
      <w:pPr>
        <w:tabs>
          <w:tab w:val="num" w:pos="720"/>
        </w:tabs>
        <w:ind w:start="720" w:hanging="720"/>
      </w:pPr>
      <w:rPr>
        <w:rFonts w:ascii="Symbol" w:hAnsi="Symbol" w:cs="Symbol" w:hint="default"/>
      </w:rPr>
    </w:lvl>
  </w:abstractNum>
  <w:abstractNum w:abstractNumId="4">
    <w:lvl w:ilvl="0">
      <w:start w:val="1"/>
      <w:numFmt w:val="lowerLetter"/>
      <w:lvlText w:val="%1)"/>
      <w:lvlJc w:val="start"/>
      <w:pPr>
        <w:tabs>
          <w:tab w:val="num" w:pos="720"/>
        </w:tabs>
        <w:ind w:start="720" w:hanging="720"/>
      </w:pPr>
    </w:lvl>
  </w:abstractNum>
  <w:abstractNum w:abstractNumId="5">
    <w:lvl w:ilvl="0">
      <w:start w:val="1"/>
      <w:numFmt w:val="lowerRoman"/>
      <w:lvlText w:val="(%1)"/>
      <w:lvlJc w:val="start"/>
      <w:pPr>
        <w:tabs>
          <w:tab w:val="num" w:pos="1440"/>
        </w:tabs>
        <w:ind w:start="1440" w:hanging="720"/>
      </w:pPr>
    </w:lvl>
  </w:abstractNum>
  <w:abstractNum w:abstractNumId="6">
    <w:lvl w:ilvl="0">
      <w:start w:val="1"/>
      <w:numFmt w:val="decimal"/>
      <w:lvlText w:val="%1."/>
      <w:lvlJc w:val="start"/>
      <w:pPr>
        <w:tabs>
          <w:tab w:val="num" w:pos="720"/>
        </w:tabs>
        <w:ind w:start="720" w:hanging="720"/>
      </w:pPr>
    </w:lvl>
  </w:abstractNum>
  <w:abstractNum w:abstractNumId="7">
    <w:lvl w:ilvl="0">
      <w:start w:val="1"/>
      <w:numFmt w:val="upperLetter"/>
      <w:lvlText w:val="%1."/>
      <w:lvlJc w:val="start"/>
      <w:pPr>
        <w:tabs>
          <w:tab w:val="num" w:pos="1440"/>
        </w:tabs>
        <w:ind w:start="1440" w:hanging="720"/>
      </w:pPr>
    </w:lvl>
  </w:abstractNum>
  <w:abstractNum w:abstractNumId="8">
    <w:lvl w:ilvl="0">
      <w:start w:val="1"/>
      <w:numFmt w:val="upperLetter"/>
      <w:lvlText w:val="%1."/>
      <w:lvlJc w:val="start"/>
      <w:pPr>
        <w:tabs>
          <w:tab w:val="num" w:pos="720"/>
        </w:tabs>
        <w:ind w:start="720" w:hanging="720"/>
      </w:pPr>
    </w:lvl>
  </w:abstractNum>
  <w:abstractNum w:abstractNumId="9">
    <w:lvl w:ilvl="0">
      <w:start w:val="1"/>
      <w:numFmt w:val="bullet"/>
      <w:lvlText w:val=""/>
      <w:lvlJc w:val="start"/>
      <w:pPr>
        <w:tabs>
          <w:tab w:val="num" w:pos="720"/>
        </w:tabs>
        <w:ind w:start="720" w:hanging="720"/>
      </w:pPr>
      <w:rPr>
        <w:rFonts w:ascii="Wingdings" w:hAnsi="Wingdings" w:cs="Wingdings" w:hint="default"/>
        <w:sz w:val="16"/>
      </w:rPr>
    </w:lvl>
  </w:abstractNum>
  <w:abstractNum w:abstractNumId="10">
    <w:lvl w:ilvl="0">
      <w:start w:val="1"/>
      <w:numFmt w:val="lowerLetter"/>
      <w:lvlText w:val="%1)"/>
      <w:lvlJc w:val="start"/>
      <w:pPr>
        <w:tabs>
          <w:tab w:val="num" w:pos="1440"/>
        </w:tabs>
        <w:ind w:start="1440" w:hanging="720"/>
      </w:pPr>
    </w:lvl>
  </w:abstractNum>
  <w:abstractNum w:abstractNumId="11">
    <w:lvl w:ilvl="0">
      <w:start w:val="1"/>
      <w:numFmt w:val="upperRoman"/>
      <w:lvlText w:val="%1."/>
      <w:lvlJc w:val="start"/>
      <w:pPr>
        <w:tabs>
          <w:tab w:val="num" w:pos="1440"/>
        </w:tabs>
        <w:ind w:start="1440" w:hanging="720"/>
      </w:pPr>
    </w:lvl>
  </w:abstractNum>
  <w:abstractNum w:abstractNumId="12">
    <w:lvl w:ilvl="0">
      <w:start w:val="1"/>
      <w:numFmt w:val="bullet"/>
      <w:lvlText w:val=""/>
      <w:lvlJc w:val="start"/>
      <w:pPr>
        <w:tabs>
          <w:tab w:val="num" w:pos="720"/>
        </w:tabs>
        <w:ind w:start="720" w:hanging="720"/>
      </w:pPr>
      <w:rPr>
        <w:rFonts w:ascii="Wingdings" w:hAnsi="Wingdings" w:cs="Wingdings" w:hint="default"/>
      </w:rPr>
    </w:lvl>
  </w:abstractNum>
  <w:abstractNum w:abstractNumId="13">
    <w:lvl w:ilvl="0">
      <w:start w:val="1"/>
      <w:numFmt w:val="bullet"/>
      <w:lvlText w:val=""/>
      <w:lvlJc w:val="start"/>
      <w:pPr>
        <w:tabs>
          <w:tab w:val="num" w:pos="720"/>
        </w:tabs>
        <w:ind w:start="720" w:hanging="720"/>
      </w:pPr>
      <w:rPr>
        <w:rFonts w:ascii="Symbol" w:hAnsi="Symbol" w:cs="Symbol" w:hint="default"/>
      </w:rPr>
    </w:lvl>
  </w:abstractNum>
  <w:abstractNum w:abstractNumId="14">
    <w:lvl w:ilvl="0">
      <w:start w:val="1"/>
      <w:numFmt w:val="lowerRoman"/>
      <w:lvlText w:val="(%1)"/>
      <w:lvlJc w:val="start"/>
      <w:pPr>
        <w:tabs>
          <w:tab w:val="num" w:pos="720"/>
        </w:tabs>
        <w:ind w:start="720" w:hanging="720"/>
      </w:pPr>
    </w:lvl>
  </w:abstractNum>
  <w:abstractNum w:abstractNumId="15">
    <w:lvl w:ilvl="0">
      <w:start w:val="1"/>
      <w:numFmt w:val="decimal"/>
      <w:lvlText w:val="%1."/>
      <w:lvlJc w:val="start"/>
      <w:pPr>
        <w:tabs>
          <w:tab w:val="num" w:pos="1440"/>
        </w:tabs>
        <w:ind w:start="144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DOCX97_1" w:val="0092465.01"/>
    <w:docVar w:name="DOCX97_10" w:val="3/20/96 4:14:18 PM"/>
    <w:docVar w:name="DOCX97_11" w:val="4029"/>
    <w:docVar w:name="DOCX97_2" w:val="s:\snellwilmer_source\sw_phoenix_121399\dms\crockej\0092465.01"/>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s:\snellwilmer_target\sw_phoenix_121399\dms\crockej\0092465.01"/>
    <w:docVar w:name="DOCX97_40" w:val="YesBackTabs"/>
    <w:docVar w:name="DOCX97_42" w:val="1Footnotes"/>
    <w:docVar w:name="DOCX97_43" w:val="0Endnotes"/>
    <w:docVar w:name="DOCX97_45" w:val="1.3"/>
    <w:docVar w:name="DOCX97_46" w:val="0.6"/>
    <w:docVar w:name="DOCX97_47" w:val="0.8"/>
    <w:docVar w:name="DOCX97_48" w:val="1"/>
    <w:docVar w:name="DOCX97_49" w:val="11"/>
    <w:docVar w:name="DOCX97_5" w:val=" 16193"/>
    <w:docVar w:name="DOCX97_51" w:val="NoDocType"/>
    <w:docVar w:name="DOCX97_52" w:val="Document"/>
    <w:docVar w:name="DOCX97_53" w:val="NoBoxes"/>
    <w:docVar w:name="DOCX97_54" w:val="YesLeading"/>
    <w:docVar w:name="DOCX97_55" w:val="12"/>
    <w:docVar w:name="DOCX97_58" w:val="GoodLabelDoc"/>
    <w:docVar w:name="DOCX97_59" w:val="8.5"/>
    <w:docVar w:name="DOCX97_6" w:val="44032"/>
    <w:docVar w:name="DOCX97_61" w:val="NoSpacers"/>
    <w:docVar w:name="DOCX97_66" w:val="GoodQuotes"/>
    <w:docVar w:name="DOCX97_7" w:val="12/14/99 10:36:30 AM"/>
    <w:docVar w:name="DOCX97_8" w:val="12/14/99 10:36:46 AM"/>
    <w:docVar w:name="DOCX97_89" w:val="WordMacrosDone"/>
    <w:docVar w:name="DOCX97_90" w:val="DocX97WPDone"/>
    <w:docVar w:name="DOCX97_91" w:val="Snell &amp; Wilmer"/>
    <w:docVar w:name="DOCX97_92" w:val="12/14/99"/>
    <w:docVar w:name="DOCX97_93" w:val="10:36:56 AM"/>
    <w:docVar w:name="iTrailerType" w:val="2"/>
    <w:docVar w:name="zzmpFixed_PleadingPaperType" w:val="PP26FNLandscaped"/>
    <w:docVar w:name="zzmpFixedDOC_ID" w:val="H:\PostHrBriefEnrMid.doc"/>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3z0">
    <w:name w:val="WW8Num13z0"/>
    <w:qFormat/>
    <w:rPr>
      <w:rFonts w:ascii="Symbol" w:hAnsi="Symbol" w:cs="Symbol"/>
    </w:rPr>
  </w:style>
  <w:style w:type="character" w:styleId="WW8Num19z0">
    <w:name w:val="WW8Num19z0"/>
    <w:qFormat/>
    <w:rPr>
      <w:rFonts w:ascii="Wingdings" w:hAnsi="Wingdings" w:cs="Wingdings"/>
      <w:sz w:val="16"/>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ParaNum">
    <w:name w:val="ParaNum"/>
    <w:basedOn w:val="DefaultParagraphFont"/>
    <w:qFormat/>
    <w:rPr/>
  </w:style>
  <w:style w:type="character" w:styleId="DocumentTitle">
    <w:name w:val="Document Title"/>
    <w:basedOn w:val="DefaultParagraphFont"/>
    <w:qFormat/>
    <w:rPr>
      <w:b/>
      <w:cap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BodyText"/>
    <w:next w:val="BodyText"/>
    <w:pPr>
      <w:spacing w:before="0" w:after="0"/>
      <w:ind w:hanging="0" w:start="720" w:end="0"/>
    </w:pPr>
    <w:rPr/>
  </w:style>
  <w:style w:type="paragraph" w:styleId="LHFirmName">
    <w:name w:val="LH Firm Name"/>
    <w:qFormat/>
    <w:pPr>
      <w:widowControl/>
      <w:bidi w:val="0"/>
      <w:spacing w:before="0" w:after="240"/>
    </w:pPr>
    <w:rPr>
      <w:rFonts w:ascii="EngravrsRoman BT;Bookman Old Style" w:hAnsi="EngravrsRoman BT;Bookman Old Style" w:eastAsia="Times New Roman" w:cs="EngravrsRoman BT;Bookman Old Style"/>
      <w:color w:val="auto"/>
      <w:spacing w:val="10"/>
      <w:sz w:val="15"/>
      <w:szCs w:val="20"/>
      <w:lang w:val="en-CA" w:eastAsia="zh-CN" w:bidi="hi-IN"/>
    </w:rPr>
  </w:style>
  <w:style w:type="paragraph" w:styleId="BodyTextContinued">
    <w:name w:val="Body Text Continued"/>
    <w:basedOn w:val="BodyText"/>
    <w:next w:val="BodyText"/>
    <w:qFormat/>
    <w:pPr/>
    <w:rPr/>
  </w:style>
  <w:style w:type="paragraph" w:styleId="FootnoteText">
    <w:name w:val="footnote text"/>
    <w:basedOn w:val="Normal"/>
    <w:pPr>
      <w:keepLines/>
      <w:spacing w:lineRule="exact" w:line="240"/>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keepLines/>
      <w:widowControl w:val="false"/>
      <w:tabs>
        <w:tab w:val="clear" w:pos="720"/>
        <w:tab w:val="right" w:pos="9216" w:leader="dot"/>
      </w:tabs>
      <w:spacing w:before="0" w:after="240"/>
      <w:ind w:hanging="720" w:start="720" w:end="1440"/>
    </w:pPr>
    <w:rPr/>
  </w:style>
  <w:style w:type="paragraph" w:styleId="TOAHeading">
    <w:name w:val="TOA Heading"/>
    <w:basedOn w:val="Normal"/>
    <w:next w:val="TableofAuthorities"/>
    <w:qFormat/>
    <w:pPr>
      <w:keepNext w:val="true"/>
      <w:widowControl w:val="false"/>
      <w:spacing w:before="0" w:after="24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0" w:after="240"/>
    </w:pPr>
    <w:rPr>
      <w:b/>
      <w:small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X97Comment">
    <w:name w:val="DocX97Comment"/>
    <w:basedOn w:val="Normal"/>
    <w:qFormat/>
    <w:pPr/>
    <w:rPr>
      <w:b/>
      <w:i/>
      <w:color w:val="FF0000"/>
      <w:sz w:val="16"/>
    </w:rPr>
  </w:style>
  <w:style w:type="paragraph" w:styleId="SW-BdDblSp5J">
    <w:name w:val="SW-Bd Dbl Sp .5 J"/>
    <w:basedOn w:val="Normal"/>
    <w:qFormat/>
    <w:pPr>
      <w:spacing w:lineRule="auto" w:line="480"/>
      <w:ind w:firstLine="720" w:start="0" w:end="0"/>
      <w:jc w:val="both"/>
    </w:pPr>
    <w:rPr/>
  </w:style>
  <w:style w:type="paragraph" w:styleId="SW-BdDblSp5">
    <w:name w:val="SW-Bd Dbl Sp .5"/>
    <w:basedOn w:val="Normal"/>
    <w:qFormat/>
    <w:pPr>
      <w:spacing w:lineRule="auto" w:line="480"/>
      <w:ind w:firstLine="720" w:start="0" w:end="0"/>
    </w:pPr>
    <w:rPr/>
  </w:style>
  <w:style w:type="paragraph" w:styleId="SW-BdDblSp1J">
    <w:name w:val="SW-Bd Dbl Sp 1 J"/>
    <w:basedOn w:val="Normal"/>
    <w:qFormat/>
    <w:pPr>
      <w:spacing w:lineRule="auto" w:line="480"/>
      <w:ind w:firstLine="1440" w:start="0" w:end="0"/>
    </w:pPr>
    <w:rPr/>
  </w:style>
  <w:style w:type="paragraph" w:styleId="SW-BdDblSp1">
    <w:name w:val="SW-Bd Dbl Sp 1"/>
    <w:basedOn w:val="Normal"/>
    <w:qFormat/>
    <w:pPr>
      <w:spacing w:lineRule="auto" w:line="480"/>
      <w:ind w:firstLine="1440" w:start="0" w:end="0"/>
    </w:pPr>
    <w:rPr/>
  </w:style>
  <w:style w:type="paragraph" w:styleId="SW-BdDblSpJ">
    <w:name w:val="SW-Bd Dbl Sp J"/>
    <w:basedOn w:val="Normal"/>
    <w:qFormat/>
    <w:pPr>
      <w:spacing w:lineRule="auto" w:line="480"/>
      <w:jc w:val="both"/>
    </w:pPr>
    <w:rPr/>
  </w:style>
  <w:style w:type="paragraph" w:styleId="SW-BdDblSp">
    <w:name w:val="SW-Bd Dbl Sp"/>
    <w:basedOn w:val="Normal"/>
    <w:qFormat/>
    <w:pPr>
      <w:spacing w:lineRule="auto" w:line="480"/>
    </w:pPr>
    <w:rPr/>
  </w:style>
  <w:style w:type="paragraph" w:styleId="SW-BdQuote55FL5">
    <w:name w:val="SW-Bd Quote .5/.5 FL .5"/>
    <w:basedOn w:val="Normal"/>
    <w:qFormat/>
    <w:pPr>
      <w:spacing w:before="0" w:after="240"/>
      <w:ind w:firstLine="720" w:start="720" w:end="720"/>
    </w:pPr>
    <w:rPr/>
  </w:style>
  <w:style w:type="paragraph" w:styleId="SW-BdQuote55J">
    <w:name w:val="SW-Bd Quote .5/.5 J"/>
    <w:basedOn w:val="Normal"/>
    <w:qFormat/>
    <w:pPr>
      <w:spacing w:before="0" w:after="240"/>
      <w:ind w:hanging="0" w:start="720" w:end="720"/>
      <w:jc w:val="both"/>
    </w:pPr>
    <w:rPr/>
  </w:style>
  <w:style w:type="paragraph" w:styleId="SW-BdQuote55">
    <w:name w:val="SW-Bd Quote .5/.5"/>
    <w:basedOn w:val="Normal"/>
    <w:qFormat/>
    <w:pPr>
      <w:spacing w:before="0" w:after="240"/>
      <w:ind w:hanging="0" w:start="720" w:end="720"/>
    </w:pPr>
    <w:rPr/>
  </w:style>
  <w:style w:type="paragraph" w:styleId="SW-BdQuote11FL5">
    <w:name w:val="SW-Bd Quote 1/1 FL .5"/>
    <w:basedOn w:val="Normal"/>
    <w:qFormat/>
    <w:pPr>
      <w:spacing w:before="0" w:after="240"/>
      <w:ind w:firstLine="720" w:start="1440" w:end="1440"/>
    </w:pPr>
    <w:rPr/>
  </w:style>
  <w:style w:type="paragraph" w:styleId="SW-BdQuote11J">
    <w:name w:val="SW-Bd Quote 1/1 J"/>
    <w:basedOn w:val="Normal"/>
    <w:qFormat/>
    <w:pPr>
      <w:spacing w:before="0" w:after="240"/>
      <w:ind w:hanging="0" w:start="1440" w:end="1440"/>
      <w:jc w:val="both"/>
    </w:pPr>
    <w:rPr/>
  </w:style>
  <w:style w:type="paragraph" w:styleId="SW-BdQuote11">
    <w:name w:val="SW-Bd Quote 1/1"/>
    <w:basedOn w:val="Normal"/>
    <w:qFormat/>
    <w:pPr>
      <w:spacing w:before="0" w:after="240"/>
      <w:ind w:hanging="0" w:start="1440" w:end="1440"/>
    </w:pPr>
    <w:rPr/>
  </w:style>
  <w:style w:type="paragraph" w:styleId="SW-BdSingleSp5J">
    <w:name w:val="SW-Bd Single Sp .5 J"/>
    <w:basedOn w:val="Normal"/>
    <w:qFormat/>
    <w:pPr>
      <w:spacing w:before="0" w:after="240"/>
      <w:ind w:firstLine="720" w:start="0" w:end="0"/>
      <w:jc w:val="both"/>
    </w:pPr>
    <w:rPr/>
  </w:style>
  <w:style w:type="paragraph" w:styleId="SW-BdSingleSp5">
    <w:name w:val="SW-Bd Single Sp .5"/>
    <w:basedOn w:val="Normal"/>
    <w:qFormat/>
    <w:pPr>
      <w:spacing w:before="0" w:after="240"/>
      <w:ind w:firstLine="720" w:start="0" w:end="0"/>
    </w:pPr>
    <w:rPr/>
  </w:style>
  <w:style w:type="paragraph" w:styleId="SW-BdSingleSp1J">
    <w:name w:val="SW-Bd Single Sp 1 J"/>
    <w:basedOn w:val="Normal"/>
    <w:qFormat/>
    <w:pPr>
      <w:spacing w:before="0" w:after="240"/>
      <w:ind w:firstLine="1440" w:start="0" w:end="0"/>
      <w:jc w:val="both"/>
    </w:pPr>
    <w:rPr/>
  </w:style>
  <w:style w:type="paragraph" w:styleId="SW-BdSingleSp1">
    <w:name w:val="SW-Bd Single Sp 1"/>
    <w:basedOn w:val="Normal"/>
    <w:qFormat/>
    <w:pPr>
      <w:spacing w:before="0" w:after="240"/>
      <w:ind w:firstLine="1440" w:start="0" w:end="0"/>
    </w:pPr>
    <w:rPr/>
  </w:style>
  <w:style w:type="paragraph" w:styleId="SW-BdSingleSpJ">
    <w:name w:val="SW-Bd Single Sp J"/>
    <w:basedOn w:val="Normal"/>
    <w:qFormat/>
    <w:pPr>
      <w:spacing w:before="0" w:after="240"/>
      <w:jc w:val="both"/>
    </w:pPr>
    <w:rPr/>
  </w:style>
  <w:style w:type="paragraph" w:styleId="SW-BdSingleSp">
    <w:name w:val="SW-Bd Single Sp"/>
    <w:basedOn w:val="Normal"/>
    <w:qFormat/>
    <w:pPr>
      <w:spacing w:before="0" w:after="240"/>
    </w:pPr>
    <w:rPr/>
  </w:style>
  <w:style w:type="paragraph" w:styleId="SW-BulletDot">
    <w:name w:val="SW-Bullet Dot"/>
    <w:basedOn w:val="Normal"/>
    <w:qFormat/>
    <w:pPr>
      <w:numPr>
        <w:ilvl w:val="0"/>
        <w:numId w:val="13"/>
      </w:numPr>
      <w:tabs>
        <w:tab w:val="clear" w:pos="720"/>
      </w:tabs>
      <w:spacing w:before="0" w:after="240"/>
    </w:pPr>
    <w:rPr/>
  </w:style>
  <w:style w:type="paragraph" w:styleId="SW-BulletSquare">
    <w:name w:val="SW-Bullet Square"/>
    <w:basedOn w:val="Normal"/>
    <w:qFormat/>
    <w:pPr>
      <w:numPr>
        <w:ilvl w:val="0"/>
        <w:numId w:val="9"/>
      </w:numPr>
      <w:tabs>
        <w:tab w:val="clear" w:pos="720"/>
      </w:tabs>
      <w:spacing w:before="0" w:after="240"/>
    </w:pPr>
    <w:rPr/>
  </w:style>
  <w:style w:type="paragraph" w:styleId="SW-BulletStar">
    <w:name w:val="SW-Bullet Star"/>
    <w:basedOn w:val="Normal"/>
    <w:qFormat/>
    <w:pPr>
      <w:numPr>
        <w:ilvl w:val="0"/>
        <w:numId w:val="12"/>
      </w:numPr>
      <w:tabs>
        <w:tab w:val="clear" w:pos="720"/>
      </w:tabs>
      <w:spacing w:before="0" w:after="240"/>
    </w:pPr>
    <w:rPr/>
  </w:style>
  <w:style w:type="paragraph" w:styleId="SW-Hang55">
    <w:name w:val="SW-Hang .5/.5"/>
    <w:basedOn w:val="Normal"/>
    <w:qFormat/>
    <w:pPr>
      <w:spacing w:before="0" w:after="240"/>
      <w:ind w:hanging="720" w:start="1440" w:end="0"/>
    </w:pPr>
    <w:rPr/>
  </w:style>
  <w:style w:type="paragraph" w:styleId="SW-Hang05">
    <w:name w:val="SW-Hang 0/.5"/>
    <w:basedOn w:val="Normal"/>
    <w:qFormat/>
    <w:pPr>
      <w:spacing w:before="0" w:after="240"/>
      <w:ind w:hanging="720" w:start="720" w:end="0"/>
    </w:pPr>
    <w:rPr/>
  </w:style>
  <w:style w:type="paragraph" w:styleId="SW-Numbered155">
    <w:name w:val="SW-Numbered 1 .5/.5"/>
    <w:basedOn w:val="Normal"/>
    <w:qFormat/>
    <w:pPr>
      <w:numPr>
        <w:ilvl w:val="0"/>
        <w:numId w:val="15"/>
      </w:numPr>
      <w:tabs>
        <w:tab w:val="clear" w:pos="720"/>
      </w:tabs>
      <w:spacing w:before="0" w:after="240"/>
    </w:pPr>
    <w:rPr/>
  </w:style>
  <w:style w:type="paragraph" w:styleId="SW-Numbered105">
    <w:name w:val="SW-Numbered 1 0/.5"/>
    <w:basedOn w:val="Normal"/>
    <w:qFormat/>
    <w:pPr>
      <w:numPr>
        <w:ilvl w:val="0"/>
        <w:numId w:val="6"/>
      </w:numPr>
      <w:tabs>
        <w:tab w:val="clear" w:pos="720"/>
      </w:tabs>
      <w:spacing w:before="0" w:after="240"/>
    </w:pPr>
    <w:rPr/>
  </w:style>
  <w:style w:type="paragraph" w:styleId="SW-Numbereda55">
    <w:name w:val="SW-Numbered a .5/.5"/>
    <w:basedOn w:val="Normal"/>
    <w:qFormat/>
    <w:pPr>
      <w:numPr>
        <w:ilvl w:val="0"/>
        <w:numId w:val="10"/>
      </w:numPr>
      <w:tabs>
        <w:tab w:val="clear" w:pos="720"/>
      </w:tabs>
      <w:spacing w:before="0" w:after="240"/>
    </w:pPr>
    <w:rPr/>
  </w:style>
  <w:style w:type="paragraph" w:styleId="SW-NumberedA551">
    <w:name w:val="SW-Numbered A .5/.51"/>
    <w:basedOn w:val="Normal"/>
    <w:qFormat/>
    <w:pPr>
      <w:numPr>
        <w:ilvl w:val="0"/>
        <w:numId w:val="7"/>
      </w:numPr>
      <w:tabs>
        <w:tab w:val="clear" w:pos="720"/>
      </w:tabs>
      <w:spacing w:before="0" w:after="240"/>
    </w:pPr>
    <w:rPr/>
  </w:style>
  <w:style w:type="paragraph" w:styleId="SW-Numbereda05">
    <w:name w:val="SW-Numbered a 0/.5"/>
    <w:basedOn w:val="Normal"/>
    <w:qFormat/>
    <w:pPr>
      <w:numPr>
        <w:ilvl w:val="0"/>
        <w:numId w:val="4"/>
      </w:numPr>
      <w:tabs>
        <w:tab w:val="clear" w:pos="720"/>
      </w:tabs>
      <w:spacing w:before="0" w:after="240"/>
    </w:pPr>
    <w:rPr/>
  </w:style>
  <w:style w:type="paragraph" w:styleId="SW-NumberedA051">
    <w:name w:val="SW-Numbered A 0/.51"/>
    <w:basedOn w:val="Normal"/>
    <w:qFormat/>
    <w:pPr>
      <w:numPr>
        <w:ilvl w:val="0"/>
        <w:numId w:val="8"/>
      </w:numPr>
      <w:tabs>
        <w:tab w:val="clear" w:pos="720"/>
      </w:tabs>
      <w:spacing w:before="0" w:after="240"/>
    </w:pPr>
    <w:rPr/>
  </w:style>
  <w:style w:type="paragraph" w:styleId="SW-Numberedi55">
    <w:name w:val="SW-Numbered i .5/.5"/>
    <w:basedOn w:val="Normal"/>
    <w:qFormat/>
    <w:pPr>
      <w:numPr>
        <w:ilvl w:val="0"/>
        <w:numId w:val="5"/>
      </w:numPr>
      <w:tabs>
        <w:tab w:val="clear" w:pos="720"/>
      </w:tabs>
      <w:spacing w:before="0" w:after="240"/>
    </w:pPr>
    <w:rPr/>
  </w:style>
  <w:style w:type="paragraph" w:styleId="SW-NumberedI551">
    <w:name w:val="SW-Numbered I .5/.51"/>
    <w:basedOn w:val="Normal"/>
    <w:qFormat/>
    <w:pPr>
      <w:numPr>
        <w:ilvl w:val="0"/>
        <w:numId w:val="11"/>
      </w:numPr>
      <w:tabs>
        <w:tab w:val="clear" w:pos="720"/>
      </w:tabs>
      <w:spacing w:before="0" w:after="240"/>
    </w:pPr>
    <w:rPr/>
  </w:style>
  <w:style w:type="paragraph" w:styleId="SW-NumberedI05">
    <w:name w:val="SW-Numbered I 0/.5"/>
    <w:basedOn w:val="Normal"/>
    <w:qFormat/>
    <w:pPr>
      <w:numPr>
        <w:ilvl w:val="0"/>
        <w:numId w:val="2"/>
      </w:numPr>
      <w:tabs>
        <w:tab w:val="clear" w:pos="720"/>
      </w:tabs>
      <w:spacing w:before="0" w:after="240"/>
    </w:pPr>
    <w:rPr/>
  </w:style>
  <w:style w:type="paragraph" w:styleId="SW-Numberedi051">
    <w:name w:val="SW-Numbered i 0/.51"/>
    <w:basedOn w:val="Normal"/>
    <w:qFormat/>
    <w:pPr>
      <w:numPr>
        <w:ilvl w:val="0"/>
        <w:numId w:val="14"/>
      </w:numPr>
      <w:tabs>
        <w:tab w:val="clear" w:pos="720"/>
      </w:tabs>
      <w:spacing w:before="0" w:after="240"/>
    </w:pPr>
    <w:rPr/>
  </w:style>
  <w:style w:type="paragraph" w:styleId="SW-ReLine">
    <w:name w:val="SW-ReLine"/>
    <w:basedOn w:val="Normal"/>
    <w:qFormat/>
    <w:pPr>
      <w:suppressAutoHyphens w:val="true"/>
      <w:spacing w:before="0" w:after="240"/>
      <w:ind w:hanging="720" w:start="1440" w:end="0"/>
    </w:pPr>
    <w:rPr/>
  </w:style>
  <w:style w:type="paragraph" w:styleId="SW-Sal">
    <w:name w:val="SW-Sal"/>
    <w:basedOn w:val="Normal"/>
    <w:qFormat/>
    <w:pPr>
      <w:suppressAutoHyphens w:val="true"/>
      <w:spacing w:before="240" w:after="240"/>
    </w:pPr>
    <w:rPr/>
  </w:style>
  <w:style w:type="paragraph" w:styleId="SW-SigIn">
    <w:name w:val="SW-SigIn"/>
    <w:basedOn w:val="Normal"/>
    <w:qFormat/>
    <w:pPr>
      <w:keepNext w:val="true"/>
      <w:suppressAutoHyphens w:val="true"/>
      <w:spacing w:before="0" w:after="240"/>
      <w:ind w:firstLine="720" w:start="0" w:end="0"/>
    </w:pPr>
    <w:rPr/>
  </w:style>
  <w:style w:type="paragraph" w:styleId="SW-SigInD">
    <w:name w:val="SW-SigInD"/>
    <w:basedOn w:val="Normal"/>
    <w:qFormat/>
    <w:pPr>
      <w:keepNext w:val="true"/>
      <w:suppressAutoHyphens w:val="true"/>
      <w:spacing w:lineRule="auto" w:line="480"/>
      <w:ind w:firstLine="720" w:start="0" w:end="0"/>
    </w:pPr>
    <w:rPr/>
  </w:style>
  <w:style w:type="paragraph" w:styleId="SW-SigLine">
    <w:name w:val="SW-SigLine"/>
    <w:basedOn w:val="Normal"/>
    <w:next w:val="Normal"/>
    <w:qFormat/>
    <w:pPr>
      <w:keepNext w:val="true"/>
      <w:tabs>
        <w:tab w:val="clear" w:pos="720"/>
        <w:tab w:val="right" w:pos="9216" w:leader="none"/>
      </w:tabs>
      <w:suppressAutoHyphens w:val="true"/>
      <w:spacing w:before="600" w:after="0"/>
      <w:ind w:hanging="0" w:start="4320" w:end="0"/>
    </w:pPr>
    <w:rPr/>
  </w:style>
  <w:style w:type="paragraph" w:styleId="SW-SigTxt">
    <w:name w:val="SW-SigTxt"/>
    <w:basedOn w:val="Normal"/>
    <w:qFormat/>
    <w:pPr>
      <w:keepNext w:val="true"/>
      <w:tabs>
        <w:tab w:val="clear" w:pos="720"/>
        <w:tab w:val="right" w:pos="9216" w:leader="none"/>
      </w:tabs>
      <w:suppressAutoHyphens w:val="true"/>
      <w:ind w:hanging="0" w:start="4320" w:end="0"/>
    </w:pPr>
    <w:rPr/>
  </w:style>
  <w:style w:type="paragraph" w:styleId="SW-SigTxtD">
    <w:name w:val="SW-SigTxtD"/>
    <w:basedOn w:val="Normal"/>
    <w:qFormat/>
    <w:pPr>
      <w:keepNext w:val="true"/>
      <w:suppressAutoHyphens w:val="true"/>
      <w:spacing w:before="0" w:after="240"/>
      <w:ind w:hanging="0" w:start="4320" w:end="0"/>
    </w:pPr>
    <w:rPr/>
  </w:style>
  <w:style w:type="paragraph" w:styleId="SW-TableBullet">
    <w:name w:val="SW-Table Bullet"/>
    <w:basedOn w:val="Normal"/>
    <w:qFormat/>
    <w:pPr>
      <w:numPr>
        <w:ilvl w:val="0"/>
        <w:numId w:val="3"/>
      </w:numPr>
      <w:tabs>
        <w:tab w:val="clear" w:pos="720"/>
      </w:tabs>
      <w:spacing w:before="60" w:after="60"/>
    </w:pPr>
    <w:rPr/>
  </w:style>
  <w:style w:type="paragraph" w:styleId="SW-Table">
    <w:name w:val="SW-Table"/>
    <w:basedOn w:val="Normal"/>
    <w:qFormat/>
    <w:pPr>
      <w:spacing w:before="60" w:after="60"/>
    </w:pPr>
    <w:rPr/>
  </w:style>
  <w:style w:type="paragraph" w:styleId="SW-TitleBC">
    <w:name w:val="SW-Title BC"/>
    <w:basedOn w:val="Normal"/>
    <w:next w:val="Normal"/>
    <w:qFormat/>
    <w:pPr>
      <w:keepNext w:val="true"/>
      <w:spacing w:before="0" w:after="240"/>
      <w:jc w:val="center"/>
    </w:pPr>
    <w:rPr>
      <w:b/>
    </w:rPr>
  </w:style>
  <w:style w:type="paragraph" w:styleId="SW-TitleBL">
    <w:name w:val="SW-Title BL"/>
    <w:basedOn w:val="Normal"/>
    <w:next w:val="Normal"/>
    <w:qFormat/>
    <w:pPr>
      <w:keepNext w:val="true"/>
      <w:spacing w:before="0" w:after="240"/>
    </w:pPr>
    <w:rPr>
      <w:b/>
    </w:rPr>
  </w:style>
  <w:style w:type="paragraph" w:styleId="SW-TitleBUAC">
    <w:name w:val="SW-Title BUAC"/>
    <w:basedOn w:val="Normal"/>
    <w:next w:val="Normal"/>
    <w:qFormat/>
    <w:pPr>
      <w:keepNext w:val="true"/>
      <w:spacing w:before="0" w:after="240"/>
      <w:jc w:val="center"/>
    </w:pPr>
    <w:rPr>
      <w:b/>
      <w:caps/>
      <w:u w:val="single"/>
    </w:rPr>
  </w:style>
  <w:style w:type="paragraph" w:styleId="SW-TitleBUAL">
    <w:name w:val="SW-Title BUAL"/>
    <w:basedOn w:val="Normal"/>
    <w:next w:val="Normal"/>
    <w:qFormat/>
    <w:pPr>
      <w:keepNext w:val="true"/>
      <w:spacing w:before="0" w:after="240"/>
    </w:pPr>
    <w:rPr>
      <w:b/>
      <w:caps/>
      <w:u w:val="single"/>
    </w:rPr>
  </w:style>
  <w:style w:type="paragraph" w:styleId="SW-TitleBUC">
    <w:name w:val="SW-Title BUC"/>
    <w:basedOn w:val="Normal"/>
    <w:next w:val="Normal"/>
    <w:qFormat/>
    <w:pPr>
      <w:keepNext w:val="true"/>
      <w:spacing w:before="0" w:after="240"/>
      <w:jc w:val="center"/>
    </w:pPr>
    <w:rPr>
      <w:b/>
      <w:u w:val="single"/>
    </w:rPr>
  </w:style>
  <w:style w:type="paragraph" w:styleId="SW-TitleBUL">
    <w:name w:val="SW-Title BUL"/>
    <w:basedOn w:val="Normal"/>
    <w:next w:val="Normal"/>
    <w:qFormat/>
    <w:pPr>
      <w:keepNext w:val="true"/>
      <w:spacing w:before="0" w:after="240"/>
    </w:pPr>
    <w:rPr>
      <w:b/>
      <w:u w:val="single"/>
    </w:rPr>
  </w:style>
  <w:style w:type="paragraph" w:styleId="SW-TitleC">
    <w:name w:val="SW-Title C"/>
    <w:basedOn w:val="Normal"/>
    <w:qFormat/>
    <w:pPr>
      <w:keepNext w:val="true"/>
      <w:spacing w:before="0" w:after="240"/>
      <w:jc w:val="center"/>
    </w:pPr>
    <w:rPr/>
  </w:style>
  <w:style w:type="paragraph" w:styleId="SW-TitleL">
    <w:name w:val="SW-Title L"/>
    <w:basedOn w:val="Normal"/>
    <w:qFormat/>
    <w:pPr>
      <w:keepNext w:val="true"/>
      <w:spacing w:before="0" w:after="240"/>
    </w:pPr>
    <w:rPr/>
  </w:style>
  <w:style w:type="paragraph" w:styleId="SW-TitleUC">
    <w:name w:val="SW-Title UC"/>
    <w:basedOn w:val="Normal"/>
    <w:next w:val="Normal"/>
    <w:qFormat/>
    <w:pPr>
      <w:keepNext w:val="true"/>
      <w:spacing w:before="0" w:after="240"/>
      <w:jc w:val="center"/>
    </w:pPr>
    <w:rPr>
      <w:caps/>
      <w:u w:val="single"/>
    </w:rPr>
  </w:style>
  <w:style w:type="paragraph" w:styleId="SW-TitleUL">
    <w:name w:val="SW-Title UL"/>
    <w:basedOn w:val="Normal"/>
    <w:next w:val="Normal"/>
    <w:qFormat/>
    <w:pPr>
      <w:keepNext w:val="true"/>
      <w:spacing w:before="0" w:after="240"/>
    </w:pPr>
    <w:rPr>
      <w:u w:val="single"/>
    </w:rPr>
  </w:style>
  <w:style w:type="paragraph" w:styleId="EndnoteText">
    <w:name w:val="endnote text"/>
    <w:basedOn w:val="Normal"/>
    <w:pPr>
      <w:spacing w:before="0" w:after="240"/>
    </w:pPr>
    <w:rPr/>
  </w:style>
  <w:style w:type="paragraph" w:styleId="EndnoteTextMore">
    <w:name w:val="Endnote TextMore"/>
    <w:basedOn w:val="Normal"/>
    <w:qFormat/>
    <w:pPr>
      <w:spacing w:before="0" w:after="240"/>
    </w:pPr>
    <w:rPr/>
  </w:style>
  <w:style w:type="paragraph" w:styleId="FootnoteTextMore">
    <w:name w:val="Footnote TextMore"/>
    <w:basedOn w:val="FootnoteText"/>
    <w:qFormat/>
    <w:pPr>
      <w:spacing w:before="0" w:after="240"/>
    </w:pPr>
    <w:rPr>
      <w:sz w:val="24"/>
    </w:rPr>
  </w:style>
  <w:style w:type="paragraph" w:styleId="zzmpSDP">
    <w:name w:val="zzmpSDP"/>
    <w:basedOn w:val="Normal"/>
    <w:qFormat/>
    <w:pPr>
      <w:spacing w:before="0" w:after="240"/>
    </w:pPr>
    <w:rPr>
      <w:b/>
      <w:caps/>
    </w:rPr>
  </w:style>
  <w:style w:type="paragraph" w:styleId="LetterSignature">
    <w:name w:val="Letter Signature"/>
    <w:basedOn w:val="Normal"/>
    <w:qFormat/>
    <w:pPr>
      <w:keepNext w:val="true"/>
      <w:keepLines/>
      <w:ind w:hanging="0" w:start="4320" w:end="0"/>
    </w:pPr>
    <w:rPr/>
  </w:style>
  <w:style w:type="paragraph" w:styleId="Heading1Para">
    <w:name w:val="Heading1Para"/>
    <w:basedOn w:val="BodyText"/>
    <w:next w:val="BodyText"/>
    <w:qFormat/>
    <w:pPr>
      <w:jc w:val="center"/>
    </w:pPr>
    <w:rPr/>
  </w:style>
  <w:style w:type="paragraph" w:styleId="Heading2Para">
    <w:name w:val="Heading2Para"/>
    <w:basedOn w:val="BodyText"/>
    <w:next w:val="BodyText"/>
    <w:qFormat/>
    <w:pPr/>
    <w:rPr/>
  </w:style>
  <w:style w:type="paragraph" w:styleId="Heading3Para">
    <w:name w:val="Heading3Para"/>
    <w:basedOn w:val="BodyText"/>
    <w:next w:val="BodyText"/>
    <w:qFormat/>
    <w:pPr>
      <w:ind w:firstLine="1440" w:start="0" w:end="0"/>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ReLine">
    <w:name w:val="ReLine"/>
    <w:basedOn w:val="Normal"/>
    <w:next w:val="ReLineCont"/>
    <w:qFormat/>
    <w:pPr>
      <w:spacing w:before="120" w:after="0"/>
      <w:ind w:hanging="0" w:start="0" w:end="216"/>
    </w:pPr>
    <w:rPr/>
  </w:style>
  <w:style w:type="paragraph" w:styleId="ReLineCont">
    <w:name w:val="ReLineCont"/>
    <w:basedOn w:val="ReLine"/>
    <w:qFormat/>
    <w:pPr>
      <w:spacing w:before="0" w:after="0"/>
    </w:pPr>
    <w:rPr/>
  </w:style>
  <w:style w:type="paragraph" w:styleId="MemoDate">
    <w:name w:val="Memo Date"/>
    <w:basedOn w:val="Normal"/>
    <w:next w:val="Normal"/>
    <w:qFormat/>
    <w:pPr/>
    <w:rPr/>
  </w:style>
  <w:style w:type="paragraph" w:styleId="BusinessSignature">
    <w:name w:val="Business Signature"/>
    <w:basedOn w:val="Normal"/>
    <w:qFormat/>
    <w:pPr>
      <w:tabs>
        <w:tab w:val="left" w:pos="720" w:leader="none"/>
        <w:tab w:val="right" w:pos="4320" w:leader="none"/>
      </w:tabs>
    </w:pPr>
    <w:rPr/>
  </w:style>
  <w:style w:type="paragraph" w:styleId="BlockText">
    <w:name w:val="Block Text"/>
    <w:basedOn w:val="Normal"/>
    <w:qFormat/>
    <w:pPr>
      <w:spacing w:before="0" w:after="120"/>
      <w:ind w:hanging="0" w:start="1440" w:end="1440"/>
    </w:pPr>
    <w:rPr/>
  </w:style>
  <w:style w:type="paragraph" w:styleId="LabelAddress">
    <w:name w:val="LabelAddress"/>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 AZ.dot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2001-08-23T20:47:00Z</dcterms:created>
  <dc:creator>Computer Services</dc:creator>
  <dc:description/>
  <dc:language>en-CA</dc:language>
  <cp:lastModifiedBy>Computer Services</cp:lastModifiedBy>
  <cp:lastPrinted>2001-08-22T10:02:00Z</cp:lastPrinted>
  <dcterms:modified xsi:type="dcterms:W3CDTF">2001-08-23T20:47:00Z</dcterms:modified>
  <cp:revision>3</cp:revision>
  <dc:subject/>
  <dc:title>BEFORE THE ARIZONA CORPORATION COMMISSION</dc:title>
</cp:coreProperties>
</file>