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50"/>
        <w:gridCol w:w="1851"/>
        <w:gridCol w:w="1851"/>
        <w:gridCol w:w="3088"/>
      </w:tblGrid>
      <w:tr>
        <w:trPr/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CSC / Avista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RPS</w:t>
            </w:r>
          </w:p>
        </w:tc>
        <w:tc>
          <w:tcPr>
            <w:tcW w:w="3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Result</w:t>
            </w:r>
          </w:p>
        </w:tc>
      </w:tr>
      <w:tr>
        <w:trPr/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</w:t>
            </w:r>
          </w:p>
        </w:tc>
        <w:tc>
          <w:tcPr>
            <w:tcW w:w="3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Unwind</w:t>
            </w:r>
          </w:p>
        </w:tc>
      </w:tr>
      <w:tr>
        <w:trPr/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</w:t>
            </w:r>
          </w:p>
        </w:tc>
        <w:tc>
          <w:tcPr>
            <w:tcW w:w="3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Check for contract, if exists then add to RPS</w:t>
            </w:r>
          </w:p>
        </w:tc>
      </w:tr>
      <w:tr>
        <w:trPr/>
        <w:tc>
          <w:tcPr>
            <w:tcW w:w="1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</w:t>
            </w:r>
          </w:p>
        </w:tc>
        <w:tc>
          <w:tcPr>
            <w:tcW w:w="1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</w:t>
            </w:r>
          </w:p>
        </w:tc>
        <w:tc>
          <w:tcPr>
            <w:tcW w:w="3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 to CSC and RPS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note: in the original version of this table CSC and Avista were separated based on an assumption that there should be feeds between the two systems.  After the meeting at 11:00 on 10/4 this assumption was changed, such that CSC and Avista are both sources of billing / usage data.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_PlainCons.dot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2001-10-04T19:10:00Z</dcterms:created>
  <dc:creator>Brett Miller</dc:creator>
  <dc:description/>
  <dc:language>en-CA</dc:language>
  <cp:lastModifiedBy>Brett Miller</cp:lastModifiedBy>
  <dcterms:modified xsi:type="dcterms:W3CDTF">2001-10-04T19:19:00Z</dcterms:modified>
  <cp:revision>1</cp:revision>
  <dc:subject/>
  <dc:title>CSC / Avista</dc:title>
</cp:coreProperties>
</file>