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00" w:after="0"/>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before="240" w:after="0"/>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before="960" w:after="0"/>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July 12, 1999</w:t>
      </w:r>
    </w:p>
    <w:p>
      <w:pPr>
        <w:pStyle w:val="Normal"/>
        <w:spacing w:before="360" w:after="0"/>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Heading1"/>
        <w:spacing w:before="0" w:after="0"/>
        <w:ind w:hanging="0" w:start="0"/>
        <w:rPr/>
      </w:pPr>
      <w:r>
        <w:rPr/>
        <w:t>VIA FACSIMILE  011-351-13197379</w:t>
      </w:r>
    </w:p>
    <w:p>
      <w:pPr>
        <w:pStyle w:val="Heading1"/>
        <w:spacing w:before="0" w:after="0"/>
        <w:ind w:hanging="0" w:start="0"/>
        <w:rPr/>
      </w:pPr>
      <w:r>
        <w:rPr/>
        <w:t>AND FEDERAL EXPRESS</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A.M. Pereira, Saragga Leal, Oliveira Martins,</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sz w:val="22"/>
        </w:rPr>
        <w:t>Judice &amp; Associados</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Edificio Eurolex</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Av. da Liberadade N °224</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1250-148 Lisboa</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Portugal</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Attn:  Mr. Jorge Brito Pereira</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BodyText"/>
        <w:spacing w:before="240" w:after="0"/>
        <w:rPr/>
      </w:pPr>
      <w:r>
        <w:rPr/>
        <w:t>Dear Mr. Pereira:</w:t>
      </w:r>
    </w:p>
    <w:p>
      <w:pPr>
        <w:pStyle w:val="BodyText"/>
        <w:spacing w:lineRule="auto" w:line="240" w:before="0" w:after="0"/>
        <w:rPr/>
      </w:pPr>
      <w:r>
        <w:rPr/>
        <w:tab/>
        <w:t>As noted in my facsimile to you of July 7, 1999, I am aware of your telefax dated May 28, 1999 (Re: Weather Derivatives Trading in Portugal, herein referred to as the "Prior Memo") addressed to my colleague Paul Simons in the London office of Enron Capital &amp; Trade Resources International Corp.  Paul inquired about the regulation of weather derivatives between Portuguese and English counterparties under an ISDA Master Agreement governed by English law.  While not solely interested in weather derivatives, Enron Capital &amp; Trade Resources Corp. (a U.S. corporation organized under the laws of the State of Delaware with its corporate headquarters in Houston, Texas) (“ECT”) is considering entering various derivatives transactions with entities located in Portugal (the “Counterparty”).  The term “derivatives transactions” as used here means options, swaps, caps, collars, floors and other derivatives transactions to hedge or manage commodity (paper/pulp, natural gas, crude oil, natural gas liquids, etc.), interest rate, currency and weather risks.  All of the products would be settled financially in U.S. Dollars.  You will note that all derivatives transactions between ECT and a Counterparty would be entered into pursuant to an ISDA Master Agreement (Multicurrency - Cross Border).  I will also send under separate cover a draft of the Schedule of the ISDA Master Agreement, ISDA Credit Support Annex, guaranty form, and opinion form we would anticipate using with a Counterparty.</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We request your opinion on the legality, enforceability and withholding tax treatment of derivatives transactions and would like to work with you to determine the legal issues involved in entering into derivatives transactions in Portugal.  While we anticipate that the laws of New York or Texas would govern the ISDA Master Agreement, we would like (i) assurance that a company based in Portugal can legally enter into derivatives transactions and (ii) information on the impact Portuguese law may have on any derivatives transactions.  To the extent that your answers are the same as the Prior Memo, please feel free to refer to the same.</w:t>
      </w:r>
    </w:p>
    <w:p>
      <w:pPr>
        <w:pStyle w:val="Normal"/>
        <w:keepNext w:val="true"/>
        <w:keepLines/>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 xml:space="preserve">The following is a list of the general issues we would like addressed in a written response:  </w:t>
      </w:r>
    </w:p>
    <w:p>
      <w:pPr>
        <w:pStyle w:val="Normal"/>
        <w:keepNext w:val="true"/>
        <w:keepLines/>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1.  Choice of Law/Submission to Jurisdiction:</w:t>
      </w:r>
    </w:p>
    <w:p>
      <w:pPr>
        <w:pStyle w:val="BodyText"/>
        <w:spacing w:lineRule="auto" w:line="240"/>
        <w:rPr/>
      </w:pPr>
      <w:r>
        <w:rPr/>
        <w:tab/>
        <w:t>Please confirm that the agreement of a Counterparty to (i) submit to the substantive law of the State of Texas or the State of New York and (ii) submit to the exclusive jurisdiction of the courts of either the State of Texas or the State of New York would be legally valid, binding and enforceable under the laws of Portugal.  Note that ECT also has an office in New York and assume that the Counterparty will not have an office in either New York or Texas.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2.  Enforcement of Foreign Judgments/Access to Portuguese courts: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Would a Portuguese court enforce a judgment rendered by a New York or Texas state or federal court?  Assume that all substantive and procedural requirements for jurisdiction have been met.  Would a U.S. corporation be permitted  to sue directly in Portugal?</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3.  Authority and capacity:</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ECT may enter into derivatives transactions with the following types of entities (i) banks or other financial institutions, (ii) companies engaged in the paper and pulp manufacturing or recycling (or oil and/or gas) business and (iii) other corporations or limited liability entities, and (iv) government or state owned or controlled corporations.</w:t>
      </w:r>
    </w:p>
    <w:p>
      <w:pPr>
        <w:pStyle w:val="Normal"/>
        <w:spacing w:before="120" w:after="0"/>
        <w:ind w:hanging="720"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w:t>
        <w:tab/>
        <w:t>Under the laws of organization of the relevant entity, does each of these entities have the capacity to enter into this type of transaction?  If so, must the organizational documents so empower this entity?</w:t>
      </w:r>
    </w:p>
    <w:p>
      <w:pPr>
        <w:pStyle w:val="Normal"/>
        <w:spacing w:before="120" w:after="0"/>
        <w:ind w:hanging="720"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B.</w:t>
        <w:tab/>
        <w:t>What additional corporate action is necessary or advisable in order to assure that the entity has capacity and the officer orally agreeing to the trade and the officer(s) signing the ISDA Master Agreement and other relevant documents have proper authority so as to bind the entity?</w:t>
      </w:r>
    </w:p>
    <w:p>
      <w:pPr>
        <w:pStyle w:val="Normal"/>
        <w:spacing w:before="120" w:after="0"/>
        <w:ind w:hanging="720"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C.</w:t>
        <w:tab/>
        <w:t>Please identify and describe the documentation that ECT should prudently insist upon receiving from the Counterparty to evidence its capacity and the authority of the individuals orally agreeing to trades and signing documents.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Would partnerships, trusts, utilities, municipalities, normally have the capacity to enter into derivatives transactions?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4.  General Laws Impacting Derivatives Transactions: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Are there other statutory or regulatory restrictions, usury laws, licensing or registration requirements of which we need to be aware or anything else which would affect the authority or capacity of a Counterparty to enter into derivatives transactions or any other restriction due to the nature of the Counterparty (e.g. bank) or due to the nature of the financial product (e.g. as a “security” or “commodity”)?  Are there any anti-gambling or similar rules under Portuguese law which would affect the legality and enforceability of derivatives transactions?  Is it necessary to register any agreement or transaction with any governmental authority or obtain any approvals or licenses?  If so, what is the procedure and what are the consequences of failing to register or obtain approval?</w:t>
      </w:r>
    </w:p>
    <w:p>
      <w:pPr>
        <w:pStyle w:val="Normal"/>
        <w:spacing w:before="120" w:after="0"/>
        <w:jc w:val="both"/>
        <w:rPr>
          <w:rFonts w:ascii="Times New Roman;Times New Roman" w:hAnsi="Times New Roman;Times New Roman" w:cs="Times New Roman;Times New Roman"/>
          <w:b/>
          <w:sz w:val="22"/>
          <w:u w:val="single"/>
        </w:rPr>
      </w:pPr>
      <w:r>
        <w:rPr>
          <w:rFonts w:cs="Times New Roman;Times New Roman" w:ascii="Times New Roman;Times New Roman" w:hAnsi="Times New Roman;Times New Roman"/>
          <w:b/>
          <w:sz w:val="22"/>
          <w:u w:val="single"/>
        </w:rPr>
        <w:t>5.  Exchange Controls: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Are there any exchange control licenses required or restrictions that might impact a Counterparty making payments in a non-local currency in another jurisdiction?</w:t>
      </w:r>
    </w:p>
    <w:p>
      <w:pPr>
        <w:pStyle w:val="Normal"/>
        <w:keepNext w:val="true"/>
        <w:keepLines/>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6.  Immunity:</w:t>
      </w:r>
    </w:p>
    <w:p>
      <w:pPr>
        <w:pStyle w:val="Normal"/>
        <w:keepNext w:val="true"/>
        <w:keepLines/>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Would any Counterparty (public or private) be granted immunity from suit, attachment of assets or execution of judgments?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7.  Regulation:</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Would ECT be able to transact business with a Counterparty without having to be regulated in either the U.S. or Portugal?</w:t>
      </w:r>
    </w:p>
    <w:p>
      <w:pPr>
        <w:pStyle w:val="Normal"/>
        <w:spacing w:before="120" w:after="0"/>
        <w:jc w:val="both"/>
        <w:rPr>
          <w:rFonts w:ascii="Times New Roman;Times New Roman" w:hAnsi="Times New Roman;Times New Roman" w:cs="Times New Roman;Times New Roman"/>
          <w:b/>
          <w:sz w:val="22"/>
          <w:u w:val="single"/>
        </w:rPr>
      </w:pPr>
      <w:r>
        <w:rPr>
          <w:rFonts w:cs="Times New Roman;Times New Roman" w:ascii="Times New Roman;Times New Roman" w:hAnsi="Times New Roman;Times New Roman"/>
          <w:b/>
          <w:sz w:val="22"/>
          <w:u w:val="single"/>
        </w:rPr>
        <w:t xml:space="preserve"> </w:t>
      </w:r>
      <w:r>
        <w:rPr>
          <w:rFonts w:cs="Times New Roman;Times New Roman" w:ascii="Times New Roman;Times New Roman" w:hAnsi="Times New Roman;Times New Roman"/>
          <w:b/>
          <w:sz w:val="22"/>
          <w:u w:val="single"/>
        </w:rPr>
        <w:t>8.  Termination Provisions and Netting:</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 xml:space="preserve">Assuming a Counterparty is not in bankruptcy, would the termination provisions, including netting, be enforced by a Portuguese court assuming the Counterparty was otherwise in default?  </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9.  Bankruptcy/Insolvency:</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What impact do the local bankruptcy laws have on derivatives transactions?  Would a trustee in bankruptcy or similar official be able to “cherry-pick” (selectively enforce) transactions between ECT and the Counterparty, thereby terminating the unfavorable positions and maintaining the favorable ones?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Specifically, would:</w:t>
      </w:r>
    </w:p>
    <w:p>
      <w:pPr>
        <w:pStyle w:val="Normal"/>
        <w:spacing w:before="120" w:after="0"/>
        <w:ind w:hanging="720"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w:t>
        <w:tab/>
        <w:t>a Portuguese court enforce the termination provisions against a Counterparty after bankruptcy and would the courts give effect to the netting provisions after bankruptcy?</w:t>
      </w:r>
    </w:p>
    <w:p>
      <w:pPr>
        <w:pStyle w:val="Normal"/>
        <w:spacing w:before="120" w:after="0"/>
        <w:ind w:hanging="720"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B.</w:t>
        <w:tab/>
        <w:t>ECT be able to exempt itself from any stay of execution?</w:t>
      </w:r>
    </w:p>
    <w:p>
      <w:pPr>
        <w:pStyle w:val="Normal"/>
        <w:spacing w:before="120" w:after="0"/>
        <w:ind w:hanging="720"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C.</w:t>
        <w:tab/>
        <w:t>ECT be able to insulate itself against any powers of the trustee in bankruptcy to disclaim payments made by the bankrupt Counterparty prior to bankruptcy?</w:t>
      </w:r>
    </w:p>
    <w:p>
      <w:pPr>
        <w:pStyle w:val="Normal"/>
        <w:spacing w:before="120" w:after="0"/>
        <w:ind w:hanging="720"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D.</w:t>
        <w:tab/>
        <w:t>a trustee in bankruptcy be able to repudiate the delivery of collateral made prior to bankruptcy?</w:t>
      </w:r>
    </w:p>
    <w:p>
      <w:pPr>
        <w:pStyle w:val="Normal"/>
        <w:spacing w:before="120" w:after="0"/>
        <w:ind w:hanging="720"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w:t>
        <w:tab/>
        <w:t>ECT be able to direct that any collateral it had posted with the bankrupt Counterparty be used to satisfy its obligations to the bankrupt Counterparty under the terms of the ISDA Master Agreement?  And conversely, if ECT were holding collateral and the Counterparty went bankrupt would ECT be able to use the collateral to discharge amounts due from the bankrupt Counterparty?</w:t>
      </w:r>
    </w:p>
    <w:p>
      <w:pPr>
        <w:pStyle w:val="Normal"/>
        <w:spacing w:before="120" w:after="0"/>
        <w:ind w:hanging="720"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F.</w:t>
        <w:tab/>
        <w:t>the “Automatic Termination” provisions of the ISDA Master Agreement upon bankruptcy be given effect by Portuguese courts?</w:t>
      </w:r>
    </w:p>
    <w:p>
      <w:pPr>
        <w:pStyle w:val="Normal"/>
        <w:spacing w:before="120" w:after="0"/>
        <w:jc w:val="both"/>
        <w:rPr/>
      </w:pPr>
      <w:r>
        <w:rPr>
          <w:rFonts w:cs="Times New Roman;Times New Roman" w:ascii="Times New Roman;Times New Roman" w:hAnsi="Times New Roman;Times New Roman"/>
          <w:b/>
          <w:sz w:val="22"/>
          <w:u w:val="single"/>
        </w:rPr>
        <w:t>10.  Credit Support:</w:t>
      </w:r>
      <w:r>
        <w:rPr>
          <w:rFonts w:cs="Times New Roman;Times New Roman" w:ascii="Times New Roman;Times New Roman" w:hAnsi="Times New Roman;Times New Roman"/>
          <w:sz w:val="22"/>
        </w:rPr>
        <w:t xml:space="preserve"> </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Are there any limitations on a Counterparty’s ability to provide letters of credit or pledge cash or securities as collateral in the U.S., with U.S. law governing the perfection of such collateral, to secure its obligations under the ISDA Master Agreement?</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11.  Taxes:</w:t>
      </w:r>
    </w:p>
    <w:p>
      <w:pPr>
        <w:pStyle w:val="BodyText"/>
        <w:spacing w:lineRule="auto" w:line="240"/>
        <w:rPr/>
      </w:pPr>
      <w:r>
        <w:rPr/>
        <w:tab/>
        <w:t>Are there any potential withholding tax, income tax, stamp tax, value added tax or other tax issues in Portugal that would need to be considered when entering into the ISDA Master Agreement with the Counterparty?  If such taxes exist, are there any tax treaties and/or tax documents that would eliminate or reduce such withholding?  Are the tax gross up provisions of Section 2(d) of the ISDA Master Agreement enforceable in Portugal?</w:t>
      </w:r>
    </w:p>
    <w:p>
      <w:pPr>
        <w:pStyle w:val="Normal"/>
        <w:keepNext w:val="true"/>
        <w:keepLines/>
        <w:spacing w:before="120" w:after="0"/>
        <w:jc w:val="both"/>
        <w:rPr>
          <w:rFonts w:ascii="Times New Roman;Times New Roman" w:hAnsi="Times New Roman;Times New Roman" w:cs="Times New Roman;Times New Roman"/>
          <w:b/>
          <w:sz w:val="22"/>
          <w:u w:val="single"/>
        </w:rPr>
      </w:pPr>
      <w:r>
        <w:rPr>
          <w:rFonts w:cs="Times New Roman;Times New Roman" w:ascii="Times New Roman;Times New Roman" w:hAnsi="Times New Roman;Times New Roman"/>
          <w:b/>
          <w:sz w:val="22"/>
          <w:u w:val="single"/>
        </w:rPr>
        <w:t>12.  Setoff:</w:t>
      </w:r>
    </w:p>
    <w:p>
      <w:pPr>
        <w:pStyle w:val="Normal"/>
        <w:keepNext w:val="true"/>
        <w:keepLines/>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Would the set-off provisions contained in Part 5 of the Schedule to the ISDA Master Agreement be enforceable under Portuguese law?</w:t>
      </w:r>
    </w:p>
    <w:p>
      <w:pPr>
        <w:pStyle w:val="Normal"/>
        <w:spacing w:before="120" w:after="0"/>
        <w:jc w:val="both"/>
        <w:rPr>
          <w:rFonts w:ascii="Times New Roman;Times New Roman" w:hAnsi="Times New Roman;Times New Roman" w:cs="Times New Roman;Times New Roman"/>
          <w:b/>
          <w:sz w:val="22"/>
          <w:u w:val="single"/>
        </w:rPr>
      </w:pPr>
      <w:r>
        <w:rPr>
          <w:rFonts w:cs="Times New Roman;Times New Roman" w:ascii="Times New Roman;Times New Roman" w:hAnsi="Times New Roman;Times New Roman"/>
          <w:b/>
          <w:sz w:val="22"/>
          <w:u w:val="single"/>
        </w:rPr>
        <w:t>13.  Contract Formalities: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What are the requirements for contract formation under the laws of Portugal (e.g. offer, acceptance, in writing, witnessed, corporate seal, document stamp)?  Are oral agreements, entered into under the ISDA Master Agreement that permits oral agreements, valid and binding under Portuguese law?</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14.  Calculation of Damages: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Are the liquidated damages provisions contained in Section 6(e) of the ISDA Master Agreement and the methods of calculating damages (Second Method, Market Quotation or Loss) enforceable under Portuguese law?</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15.  Limitation of Liability:</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Would the limitation of liability provision contained in Part 5 of the Schedule to the ISDA Master Agreement be enforceable under the laws of Portugal?</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16.  Indemnification of Expenses: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Would a Portuguese court enforce the indemnification provisions in Section 11 of the ISDA Master Agreement which provides that a Defaulting Party will indemnify the Non-Defaulting Party for reasonable out-of-pocket expenses, including legal fees and costs, in enforcing and protecting its rights under the ISDA Master Agreement?</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u w:val="single"/>
        </w:rPr>
        <w:t>17.  Indemnification of Currency Losses:</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 xml:space="preserve">Would a Portuguese court enforce the indemnification provisions in Section 8 of the ISDA Master Agreement?  </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before="12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All bills for your services should be sent to the attention of Mark E. Taylor, Vice President and Assistant General Counsel, Trading, at the address listed above.  Please call me after you have had a chance to review the scope of what we are asking so that we may discuss any obvious legal problems to doing business in Portugal as well as the timing of the project and any questions you might have.  My telephone number is (713) 853-5620 and my fax numbers are (713) 646-3393 or (713) 646-3490.</w:t>
      </w:r>
    </w:p>
    <w:p>
      <w:pPr>
        <w:pStyle w:val="Normal"/>
        <w:spacing w:before="12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Thank you for your assistance in this matter and I look forward to working with you.</w:t>
      </w:r>
    </w:p>
    <w:p>
      <w:pPr>
        <w:pStyle w:val="Normal"/>
        <w:spacing w:before="240" w:after="0"/>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Very truly yours,</w:t>
      </w:r>
    </w:p>
    <w:p>
      <w:pPr>
        <w:pStyle w:val="Normal"/>
        <w:spacing w:before="240" w:after="0"/>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Sara Shackleton</w:t>
      </w:r>
    </w:p>
    <w:p>
      <w:pPr>
        <w:pStyle w:val="Normal"/>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Senior Counsel</w:t>
      </w:r>
    </w:p>
    <w:sectPr>
      <w:headerReference w:type="default" r:id="rId2"/>
      <w:headerReference w:type="first" r:id="rId3"/>
      <w:footerReference w:type="default" r:id="rId4"/>
      <w:footerReference w:type="first" r:id="rId5"/>
      <w:type w:val="nextPage"/>
      <w:pgSz w:w="12240" w:h="15840"/>
      <w:pgMar w:left="1440" w:right="144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Times New Roman" w:hAnsi="Times New Roman;Times New Roman" w:cs="Times New Roman;Times New Roman"/>
        <w:sz w:val="12"/>
      </w:rPr>
    </w:pPr>
    <w:r>
      <w:rPr>
        <w:rFonts w:cs="Times New Roman;Times New Roman" w:ascii="Times New Roman;Times New Roman" w:hAnsi="Times New Roman;Times New Roman"/>
        <w:sz w:val="12"/>
      </w:rPr>
      <w:fldChar w:fldCharType="begin"/>
    </w:r>
    <w:r>
      <w:rPr>
        <w:sz w:val="12"/>
        <w:rFonts w:cs="Times New Roman;Times New Roman" w:ascii="Times New Roman;Times New Roman" w:hAnsi="Times New Roman;Times New Roman"/>
      </w:rPr>
      <w:instrText xml:space="preserve"> FILENAME \p </w:instrText>
    </w:r>
    <w:r>
      <w:rPr>
        <w:sz w:val="12"/>
        <w:rFonts w:cs="Times New Roman;Times New Roman" w:ascii="Times New Roman;Times New Roman" w:hAnsi="Times New Roman;Times New Roman"/>
      </w:rPr>
      <w:fldChar w:fldCharType="separate"/>
    </w:r>
    <w:r>
      <w:rPr>
        <w:sz w:val="12"/>
        <w:rFonts w:cs="Times New Roman;Times New Roman" w:ascii="Times New Roman;Times New Roman" w:hAnsi="Times New Roman;Times New Roman"/>
      </w:rPr>
      <w:t>/mnt/main-storage/datasets/enron-docs/doc/Portugal.DOC</w:t>
    </w:r>
    <w:r>
      <w:rPr>
        <w:sz w:val="12"/>
        <w:rFonts w:cs="Times New Roman;Times New Roman" w:ascii="Times New Roman;Times New Roman" w:hAnsi="Times New Roman;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Page </w:t>
    </w:r>
    <w:r>
      <w:rPr>
        <w:rStyle w:val="PageNumber"/>
        <w:rFonts w:cs="Times New Roman;Times New Roman" w:ascii="Times New Roman;Times New Roman" w:hAnsi="Times New Roman;Times New Roman"/>
        <w:sz w:val="22"/>
      </w:rPr>
      <w:fldChar w:fldCharType="begin"/>
    </w:r>
    <w:r>
      <w:rPr>
        <w:rStyle w:val="PageNumber"/>
        <w:sz w:val="22"/>
        <w:rFonts w:cs="Times New Roman;Times New Roman" w:ascii="Times New Roman;Times New Roman" w:hAnsi="Times New Roman;Times New Roman"/>
      </w:rPr>
      <w:instrText xml:space="preserve"> PAGE </w:instrText>
    </w:r>
    <w:r>
      <w:rPr>
        <w:rStyle w:val="PageNumber"/>
        <w:sz w:val="22"/>
        <w:rFonts w:cs="Times New Roman;Times New Roman" w:ascii="Times New Roman;Times New Roman" w:hAnsi="Times New Roman;Times New Roman"/>
      </w:rPr>
      <w:fldChar w:fldCharType="separate"/>
    </w:r>
    <w:r>
      <w:rPr>
        <w:rStyle w:val="PageNumber"/>
        <w:sz w:val="22"/>
        <w:rFonts w:cs="Times New Roman;Times New Roman" w:ascii="Times New Roman;Times New Roman" w:hAnsi="Times New Roman;Times New Roman"/>
      </w:rPr>
      <w:t>4</w:t>
    </w:r>
    <w:r>
      <w:rPr>
        <w:rStyle w:val="PageNumber"/>
        <w:sz w:val="22"/>
        <w:rFonts w:cs="Times New Roman;Times New Roman" w:ascii="Times New Roman;Times New Roman" w:hAnsi="Times New Roman;Times New Roman"/>
      </w:rPr>
      <w:fldChar w:fldCharType="end"/>
    </w:r>
  </w:p>
  <w:p>
    <w:pPr>
      <w:pStyle w:val="Header"/>
      <w:rPr>
        <w:rStyle w:val="PageNumber"/>
        <w:rFonts w:ascii="Times New Roman;Times New Roman" w:hAnsi="Times New Roman;Times New Roman" w:cs="Times New Roman;Times New Roman"/>
        <w:sz w:val="22"/>
      </w:rPr>
    </w:pPr>
    <w:r>
      <w:rPr>
        <w:rStyle w:val="PageNumber"/>
        <w:rFonts w:cs="Times New Roman;Times New Roman" w:ascii="Times New Roman;Times New Roman" w:hAnsi="Times New Roman;Times New Roman"/>
        <w:sz w:val="22"/>
      </w:rPr>
      <w:fldChar w:fldCharType="begin"/>
    </w:r>
    <w:r>
      <w:rPr>
        <w:rStyle w:val="PageNumber"/>
        <w:sz w:val="22"/>
        <w:rFonts w:cs="Times New Roman;Times New Roman" w:ascii="Times New Roman;Times New Roman" w:hAnsi="Times New Roman;Times New Roman"/>
      </w:rPr>
      <w:instrText xml:space="preserve"> DATE \@"MMMM\ d', 'yyyy" </w:instrText>
    </w:r>
    <w:r>
      <w:rPr>
        <w:rStyle w:val="PageNumber"/>
        <w:sz w:val="22"/>
        <w:rFonts w:cs="Times New Roman;Times New Roman" w:ascii="Times New Roman;Times New Roman" w:hAnsi="Times New Roman;Times New Roman"/>
      </w:rPr>
      <w:fldChar w:fldCharType="separate"/>
    </w:r>
    <w:r>
      <w:rPr>
        <w:rStyle w:val="PageNumber"/>
        <w:sz w:val="22"/>
        <w:rFonts w:cs="Times New Roman;Times New Roman" w:ascii="Times New Roman;Times New Roman" w:hAnsi="Times New Roman;Times New Roman"/>
      </w:rPr>
      <w:t>September 28, 2025</w:t>
    </w:r>
    <w:r>
      <w:rPr>
        <w:rStyle w:val="PageNumber"/>
        <w:sz w:val="22"/>
        <w:rFonts w:cs="Times New Roman;Times New Roman" w:ascii="Times New Roman;Times New Roman" w:hAnsi="Times New Roman;Times New Roman"/>
      </w:rPr>
      <w:fldChar w:fldCharType="end"/>
    </w:r>
  </w:p>
  <w:p>
    <w:pPr>
      <w:pStyle w:val="Header"/>
      <w:rPr>
        <w:rStyle w:val="PageNumber"/>
        <w:rFonts w:ascii="Times New Roman;Times New Roman" w:hAnsi="Times New Roman;Times New Roman" w:cs="Times New Roman;Times New Roman"/>
        <w:sz w:val="22"/>
      </w:rPr>
    </w:pPr>
    <w:r>
      <w:rPr/>
    </w:r>
  </w:p>
  <w:p>
    <w:pPr>
      <w:pStyle w:val="Header"/>
      <w:rPr>
        <w:rStyle w:val="PageNumber"/>
        <w:rFonts w:ascii="Times New Roman;Times New Roman" w:hAnsi="Times New Roman;Times New Roman" w:cs="Times New Roman;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Times New Roman" w:cs="Times"/>
      <w:color w:val="auto"/>
      <w:sz w:val="26"/>
      <w:szCs w:val="20"/>
      <w:lang w:val="en-US" w:eastAsia="zh-CN" w:bidi="hi-IN"/>
    </w:rPr>
  </w:style>
  <w:style w:type="paragraph" w:styleId="Heading1">
    <w:name w:val="heading 1"/>
    <w:basedOn w:val="Normal"/>
    <w:next w:val="Normal"/>
    <w:qFormat/>
    <w:pPr>
      <w:keepNext w:val="true"/>
      <w:numPr>
        <w:ilvl w:val="0"/>
        <w:numId w:val="1"/>
      </w:numPr>
      <w:spacing w:before="240" w:after="0"/>
      <w:outlineLvl w:val="0"/>
    </w:pPr>
    <w:rPr>
      <w:b/>
      <w:sz w:val="22"/>
      <w:u w:val="single"/>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before="120" w:after="0"/>
      <w:jc w:val="both"/>
    </w:pPr>
    <w:rPr>
      <w:rFonts w:ascii="Times New Roman;Times New Roman" w:hAnsi="Times New Roman;Times New Roman" w:cs="Times New Roman;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ang2">
    <w:name w:val="hang2"/>
    <w:basedOn w:val="Normal"/>
    <w:next w:val="Normal"/>
    <w:qFormat/>
    <w:pPr>
      <w:ind w:hanging="2880" w:start="2880" w:end="0"/>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1999-07-12T14:05:00Z</dcterms:created>
  <dc:creator>ECT</dc:creator>
  <dc:description/>
  <dc:language>en-CA</dc:language>
  <cp:lastModifiedBy>kaye ellis</cp:lastModifiedBy>
  <cp:lastPrinted>1999-07-12T16:16:00Z</cp:lastPrinted>
  <dcterms:modified xsi:type="dcterms:W3CDTF">1999-07-12T19:05:00Z</dcterms:modified>
  <cp:revision>7</cp:revision>
  <dc:subject>letter form</dc:subject>
  <dc:title>letter form</dc:title>
</cp:coreProperties>
</file>