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jc w:val="center"/>
        <w:rPr/>
      </w:pPr>
      <w:r>
        <w:rPr/>
      </w:r>
    </w:p>
    <w:p>
      <w:pPr>
        <w:pStyle w:val="Normal"/>
        <w:jc w:val="center"/>
        <w:rPr/>
      </w:pPr>
      <w:r>
        <w:rPr/>
      </w:r>
    </w:p>
    <w:p>
      <w:pPr>
        <w:pStyle w:val="Normal"/>
        <w:rPr/>
      </w:pPr>
      <w:r>
        <w:rPr/>
        <w:t>July 2, 1999</w:t>
      </w:r>
    </w:p>
    <w:p>
      <w:pPr>
        <w:pStyle w:val="Normal"/>
        <w:rPr/>
      </w:pPr>
      <w:r>
        <w:rPr/>
        <w:t>Portucel Industrial – Empresa Produtora de Celulose, S.A.</w:t>
      </w:r>
    </w:p>
    <w:p>
      <w:pPr>
        <w:pStyle w:val="Normal"/>
        <w:spacing w:lineRule="atLeast" w:line="240"/>
        <w:rPr>
          <w:color w:val="000000"/>
          <w:lang w:eastAsia="en-US"/>
        </w:rPr>
      </w:pPr>
      <w:r>
        <w:rPr>
          <w:color w:val="000000"/>
          <w:lang w:eastAsia="en-US"/>
        </w:rPr>
        <w:t>Rua Joaquim Antonio De Aguiar, 3</w:t>
      </w:r>
    </w:p>
    <w:p>
      <w:pPr>
        <w:pStyle w:val="Normal"/>
        <w:spacing w:lineRule="atLeast" w:line="240"/>
        <w:rPr>
          <w:color w:val="000000"/>
          <w:lang w:eastAsia="en-US"/>
        </w:rPr>
      </w:pPr>
      <w:r>
        <w:rPr>
          <w:color w:val="000000"/>
          <w:lang w:eastAsia="en-US"/>
        </w:rPr>
        <w:t>Lisbon 1070</w:t>
      </w:r>
    </w:p>
    <w:p>
      <w:pPr>
        <w:pStyle w:val="Normal"/>
        <w:spacing w:lineRule="atLeast" w:line="240"/>
        <w:rPr>
          <w:color w:val="000000"/>
          <w:lang w:eastAsia="en-US"/>
        </w:rPr>
      </w:pPr>
      <w:r>
        <w:rPr>
          <w:color w:val="000000"/>
          <w:lang w:eastAsia="en-US"/>
        </w:rPr>
        <w:t>Portugal</w:t>
      </w:r>
    </w:p>
    <w:p>
      <w:pPr>
        <w:pStyle w:val="Normal"/>
        <w:rPr/>
      </w:pPr>
      <w:r>
        <w:rPr/>
        <w:t>Attention: Jose Perdigao</w:t>
      </w:r>
    </w:p>
    <w:p>
      <w:pPr>
        <w:pStyle w:val="Normal"/>
        <w:rPr/>
      </w:pPr>
      <w:r>
        <w:rPr/>
      </w:r>
    </w:p>
    <w:p>
      <w:pPr>
        <w:pStyle w:val="Normal"/>
        <w:rPr/>
      </w:pPr>
      <w:r>
        <w:rPr/>
        <w:t>Fax No.: 011-3511-386-1271</w:t>
      </w:r>
    </w:p>
    <w:p>
      <w:pPr>
        <w:pStyle w:val="Normal"/>
        <w:rPr/>
      </w:pPr>
      <w:r>
        <w:rPr/>
        <w:t>Telephone No.: 011-3511-386-4600</w:t>
      </w:r>
    </w:p>
    <w:p>
      <w:pPr>
        <w:pStyle w:val="Normal"/>
        <w:rPr/>
      </w:pPr>
      <w:r>
        <w:rPr/>
      </w:r>
    </w:p>
    <w:p>
      <w:pPr>
        <w:pStyle w:val="Normal"/>
        <w:rPr/>
      </w:pPr>
      <w:r>
        <w:rPr/>
        <w:t>Re:</w:t>
        <w:tab/>
        <w:t>SWAP TRANSACTION ECT Contract No. EY7925.1</w:t>
      </w:r>
    </w:p>
    <w:p>
      <w:pPr>
        <w:pStyle w:val="Normal"/>
        <w:rPr/>
      </w:pPr>
      <w:r>
        <w:rPr/>
      </w:r>
    </w:p>
    <w:p>
      <w:pPr>
        <w:pStyle w:val="Normal"/>
        <w:rPr/>
      </w:pPr>
      <w:r>
        <w:rPr/>
        <w:t>Dear Sirs:</w:t>
      </w:r>
    </w:p>
    <w:p>
      <w:pPr>
        <w:pStyle w:val="Normal"/>
        <w:rPr/>
      </w:pPr>
      <w:r>
        <w:rPr/>
      </w:r>
    </w:p>
    <w:p>
      <w:pPr>
        <w:pStyle w:val="Normal"/>
        <w:jc w:val="both"/>
        <w:rPr/>
      </w:pPr>
      <w:r>
        <w:rPr/>
        <w:t xml:space="preserve">The purpose of this document is to confirm the terms and conditions of the transaction entered into between Portucel Industrial – Empresa Produtora de Celulose, S.A. (“Counterparty”) and Enron Capital &amp; Trade Resources Corp. (“ECT”) on </w:t>
      </w:r>
      <w:r>
        <w:rPr>
          <w:color w:val="0000FF"/>
        </w:rPr>
        <w:t>June 30, 1999</w:t>
      </w:r>
      <w:r>
        <w:rPr/>
        <w:t xml:space="preserve"> (the “Transaction”).  This document constitutes a “Confirmation” as referred to in the ISDA Agreement specified below.  This is a Confirmation of the following Transaction entered into with you pursuant to a telephone conversation on </w:t>
      </w:r>
      <w:r>
        <w:rPr>
          <w:color w:val="0000FF"/>
        </w:rPr>
        <w:t>June 30, 1999</w:t>
      </w:r>
      <w:r>
        <w:rPr/>
        <w:t xml:space="preserve"> between </w:t>
      </w:r>
      <w:r>
        <w:rPr>
          <w:color w:val="0000FF"/>
        </w:rPr>
        <w:t>David Cox</w:t>
      </w:r>
      <w:r>
        <w:rPr/>
        <w:t xml:space="preserve"> of ECT and </w:t>
      </w:r>
      <w:r>
        <w:rPr>
          <w:color w:val="0000FF"/>
        </w:rPr>
        <w:t>Jose Perdigao</w:t>
      </w:r>
      <w:r>
        <w:rPr/>
        <w:t xml:space="preserve"> of Counterparty.</w:t>
      </w:r>
    </w:p>
    <w:p>
      <w:pPr>
        <w:pStyle w:val="Normal"/>
        <w:jc w:val="both"/>
        <w:rPr/>
      </w:pPr>
      <w:r>
        <w:rPr/>
      </w:r>
    </w:p>
    <w:p>
      <w:pPr>
        <w:pStyle w:val="Normal"/>
        <w:jc w:val="both"/>
        <w:rPr/>
      </w:pPr>
      <w:r>
        <w:rPr/>
        <w:t>1.</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rPr/>
      </w:pPr>
      <w:r>
        <w:rPr>
          <w:b/>
          <w:sz w:val="22"/>
          <w:u w:val="single"/>
        </w:rPr>
        <w:t>General Terms</w:t>
      </w:r>
      <w:r>
        <w:rPr>
          <w:sz w:val="22"/>
        </w:rPr>
        <w:t>:</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ind w:firstLine="720" w:end="0"/>
              <w:jc w:val="both"/>
              <w:rPr>
                <w:sz w:val="22"/>
              </w:rPr>
            </w:pPr>
            <w:r>
              <w:rPr>
                <w:sz w:val="22"/>
              </w:rPr>
              <w:t>Total Notional Quantity:</w:t>
            </w:r>
          </w:p>
        </w:tc>
        <w:tc>
          <w:tcPr>
            <w:tcW w:w="4788" w:type="dxa"/>
            <w:tcBorders/>
          </w:tcPr>
          <w:p>
            <w:pPr>
              <w:pStyle w:val="Normal"/>
              <w:jc w:val="both"/>
              <w:rPr>
                <w:sz w:val="22"/>
              </w:rPr>
            </w:pPr>
            <w:r>
              <w:rPr>
                <w:sz w:val="22"/>
              </w:rPr>
              <w:t xml:space="preserve">60,000 Metric Tons </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Notional Quantity</w:t>
            </w:r>
          </w:p>
          <w:p>
            <w:pPr>
              <w:pStyle w:val="Normal"/>
              <w:ind w:firstLine="720" w:end="0"/>
              <w:jc w:val="both"/>
              <w:rPr>
                <w:sz w:val="22"/>
              </w:rPr>
            </w:pPr>
            <w:r>
              <w:rPr>
                <w:sz w:val="22"/>
              </w:rPr>
              <w:t>Per Calculation Period:</w:t>
            </w:r>
          </w:p>
        </w:tc>
        <w:tc>
          <w:tcPr>
            <w:tcW w:w="4788" w:type="dxa"/>
            <w:tcBorders/>
          </w:tcPr>
          <w:p>
            <w:pPr>
              <w:pStyle w:val="Normal"/>
              <w:snapToGrid w:val="false"/>
              <w:jc w:val="both"/>
              <w:rPr>
                <w:sz w:val="22"/>
              </w:rPr>
            </w:pPr>
            <w:r>
              <w:rPr>
                <w:sz w:val="22"/>
              </w:rPr>
            </w:r>
          </w:p>
          <w:p>
            <w:pPr>
              <w:pStyle w:val="Normal"/>
              <w:jc w:val="both"/>
              <w:rPr>
                <w:sz w:val="22"/>
              </w:rPr>
            </w:pPr>
            <w:r>
              <w:rPr>
                <w:sz w:val="22"/>
              </w:rPr>
              <w:t>5,000 Metric Tons</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Commodity:</w:t>
            </w:r>
          </w:p>
        </w:tc>
        <w:tc>
          <w:tcPr>
            <w:tcW w:w="4788" w:type="dxa"/>
            <w:tcBorders/>
          </w:tcPr>
          <w:p>
            <w:pPr>
              <w:pStyle w:val="Normal"/>
              <w:jc w:val="both"/>
              <w:rPr>
                <w:sz w:val="22"/>
              </w:rPr>
            </w:pPr>
            <w:r>
              <w:rPr>
                <w:sz w:val="22"/>
              </w:rPr>
              <w:t>Bleached Hardwood Kraft Pulp Eucalyptus</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Commodity Unit:</w:t>
            </w:r>
          </w:p>
        </w:tc>
        <w:tc>
          <w:tcPr>
            <w:tcW w:w="4788" w:type="dxa"/>
            <w:tcBorders/>
          </w:tcPr>
          <w:p>
            <w:pPr>
              <w:pStyle w:val="Normal"/>
              <w:jc w:val="both"/>
              <w:rPr>
                <w:sz w:val="22"/>
              </w:rPr>
            </w:pPr>
            <w:r>
              <w:rPr>
                <w:sz w:val="22"/>
              </w:rPr>
              <w:t>Metric Tons</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Trade Date:</w:t>
            </w:r>
          </w:p>
        </w:tc>
        <w:tc>
          <w:tcPr>
            <w:tcW w:w="4788" w:type="dxa"/>
            <w:tcBorders/>
          </w:tcPr>
          <w:p>
            <w:pPr>
              <w:pStyle w:val="Normal"/>
              <w:jc w:val="both"/>
              <w:rPr>
                <w:sz w:val="22"/>
              </w:rPr>
            </w:pPr>
            <w:r>
              <w:rPr>
                <w:sz w:val="22"/>
              </w:rPr>
              <w:t>June 30, 1999</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Effective Date:</w:t>
            </w:r>
          </w:p>
        </w:tc>
        <w:tc>
          <w:tcPr>
            <w:tcW w:w="4788" w:type="dxa"/>
            <w:tcBorders/>
          </w:tcPr>
          <w:p>
            <w:pPr>
              <w:pStyle w:val="Normal"/>
              <w:jc w:val="both"/>
              <w:rPr>
                <w:sz w:val="22"/>
              </w:rPr>
            </w:pPr>
            <w:r>
              <w:rPr>
                <w:sz w:val="22"/>
              </w:rPr>
              <w:t>July1, 1999</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Termination Date:</w:t>
            </w:r>
          </w:p>
        </w:tc>
        <w:tc>
          <w:tcPr>
            <w:tcW w:w="4788" w:type="dxa"/>
            <w:tcBorders/>
          </w:tcPr>
          <w:p>
            <w:pPr>
              <w:pStyle w:val="Normal"/>
              <w:jc w:val="both"/>
              <w:rPr>
                <w:sz w:val="22"/>
              </w:rPr>
            </w:pPr>
            <w:r>
              <w:rPr>
                <w:sz w:val="22"/>
              </w:rPr>
              <w:t>June 30, 2002</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snapToGrid w:val="false"/>
              <w:ind w:firstLine="720" w:end="0"/>
              <w:jc w:val="both"/>
              <w:rPr>
                <w:sz w:val="22"/>
              </w:rPr>
            </w:pPr>
            <w:r>
              <w:rPr>
                <w:sz w:val="22"/>
              </w:rPr>
            </w:r>
          </w:p>
          <w:p>
            <w:pPr>
              <w:pStyle w:val="Normal"/>
              <w:ind w:firstLine="720" w:end="0"/>
              <w:jc w:val="both"/>
              <w:rPr>
                <w:sz w:val="22"/>
              </w:rPr>
            </w:pPr>
            <w:r>
              <w:rPr>
                <w:sz w:val="22"/>
              </w:rPr>
              <w:t>Calculation Period(s):</w:t>
            </w:r>
          </w:p>
        </w:tc>
        <w:tc>
          <w:tcPr>
            <w:tcW w:w="4788" w:type="dxa"/>
            <w:tcBorders/>
          </w:tcPr>
          <w:p>
            <w:pPr>
              <w:pStyle w:val="Normal"/>
              <w:snapToGrid w:val="false"/>
              <w:jc w:val="both"/>
              <w:rPr>
                <w:sz w:val="22"/>
              </w:rPr>
            </w:pPr>
            <w:r>
              <w:rPr>
                <w:sz w:val="22"/>
              </w:rPr>
            </w:r>
          </w:p>
          <w:p>
            <w:pPr>
              <w:pStyle w:val="Normal"/>
              <w:jc w:val="both"/>
              <w:rPr>
                <w:sz w:val="22"/>
              </w:rPr>
            </w:pPr>
            <w:r>
              <w:rPr>
                <w:sz w:val="22"/>
              </w:rPr>
              <w:t>Twelve (12) successive quarterly Calculation Periods, with the first Calculation Period commencing July 1, 1999 and the final Calculation Period ending June 30, 2002 (as set forth in Exhibit I attached hereto)</w:t>
            </w:r>
          </w:p>
        </w:tc>
      </w:tr>
      <w:tr>
        <w:trPr/>
        <w:tc>
          <w:tcPr>
            <w:tcW w:w="4788" w:type="dxa"/>
            <w:tcBorders/>
          </w:tcPr>
          <w:p>
            <w:pPr>
              <w:pStyle w:val="Normal"/>
              <w:snapToGrid w:val="false"/>
              <w:ind w:firstLine="720" w:end="0"/>
              <w:rPr>
                <w:sz w:val="22"/>
              </w:rPr>
            </w:pPr>
            <w:r>
              <w:rPr>
                <w:sz w:val="22"/>
              </w:rPr>
            </w:r>
          </w:p>
        </w:tc>
        <w:tc>
          <w:tcPr>
            <w:tcW w:w="4788" w:type="dxa"/>
            <w:tcBorders/>
          </w:tcPr>
          <w:p>
            <w:pPr>
              <w:pStyle w:val="Normal"/>
              <w:snapToGrid w:val="false"/>
              <w:rPr>
                <w:sz w:val="22"/>
              </w:rPr>
            </w:pPr>
            <w:r>
              <w:rPr>
                <w:sz w:val="22"/>
              </w:rPr>
            </w:r>
          </w:p>
        </w:tc>
      </w:tr>
      <w:tr>
        <w:trPr/>
        <w:tc>
          <w:tcPr>
            <w:tcW w:w="4788" w:type="dxa"/>
            <w:tcBorders/>
          </w:tcPr>
          <w:p>
            <w:pPr>
              <w:pStyle w:val="Normal"/>
              <w:ind w:firstLine="720" w:end="0"/>
              <w:jc w:val="both"/>
              <w:rPr>
                <w:sz w:val="22"/>
              </w:rPr>
            </w:pPr>
            <w:r>
              <w:rPr>
                <w:sz w:val="22"/>
              </w:rPr>
              <w:t>Payment Date(s):</w:t>
            </w:r>
          </w:p>
        </w:tc>
        <w:tc>
          <w:tcPr>
            <w:tcW w:w="4788" w:type="dxa"/>
            <w:tcBorders/>
          </w:tcPr>
          <w:p>
            <w:pPr>
              <w:pStyle w:val="Norma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snapToGrid w:val="false"/>
              <w:ind w:start="-9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start="-90" w:end="0"/>
              <w:jc w:val="both"/>
              <w:rPr>
                <w:sz w:val="22"/>
              </w:rPr>
            </w:pPr>
            <w:r>
              <w:rPr>
                <w:b/>
                <w:sz w:val="22"/>
                <w:u w:val="single"/>
              </w:rPr>
              <w:t>Fixed Amount Details:</w:t>
            </w:r>
          </w:p>
        </w:tc>
        <w:tc>
          <w:tcPr>
            <w:tcW w:w="4788" w:type="dxa"/>
            <w:tcBorders/>
          </w:tcPr>
          <w:p>
            <w:pPr>
              <w:pStyle w:val="Normal"/>
              <w:snapToGrid w:val="false"/>
              <w:jc w:val="both"/>
              <w:rPr>
                <w:sz w:val="22"/>
              </w:rPr>
            </w:pPr>
            <w:r>
              <w:rPr>
                <w:sz w:val="22"/>
              </w:rPr>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Fixed Price Payer:</w:t>
            </w:r>
          </w:p>
        </w:tc>
        <w:tc>
          <w:tcPr>
            <w:tcW w:w="4788" w:type="dxa"/>
            <w:tcBorders/>
          </w:tcPr>
          <w:p>
            <w:pPr>
              <w:pStyle w:val="Normal"/>
              <w:jc w:val="both"/>
              <w:rPr>
                <w:sz w:val="22"/>
              </w:rPr>
            </w:pPr>
            <w:r>
              <w:rPr>
                <w:sz w:val="22"/>
              </w:rPr>
              <w:t>ECT</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Fixed Price:</w:t>
            </w:r>
          </w:p>
        </w:tc>
        <w:tc>
          <w:tcPr>
            <w:tcW w:w="4788" w:type="dxa"/>
            <w:tcBorders/>
          </w:tcPr>
          <w:p>
            <w:pPr>
              <w:pStyle w:val="Normal"/>
              <w:jc w:val="both"/>
              <w:rPr>
                <w:sz w:val="22"/>
              </w:rPr>
            </w:pPr>
            <w:r>
              <w:rPr>
                <w:sz w:val="22"/>
              </w:rPr>
              <w:t>EUR $470.00 per Metric Ton</w:t>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jc w:val="both"/>
              <w:rPr>
                <w:sz w:val="22"/>
              </w:rPr>
            </w:pPr>
            <w:r>
              <w:rPr>
                <w:b/>
                <w:sz w:val="22"/>
                <w:u w:val="single"/>
              </w:rPr>
              <w:t>Floating Amount Details:</w:t>
            </w:r>
          </w:p>
        </w:tc>
        <w:tc>
          <w:tcPr>
            <w:tcW w:w="4788" w:type="dxa"/>
            <w:tcBorders/>
          </w:tcPr>
          <w:p>
            <w:pPr>
              <w:pStyle w:val="Normal"/>
              <w:snapToGrid w:val="false"/>
              <w:jc w:val="both"/>
              <w:rPr>
                <w:sz w:val="22"/>
              </w:rPr>
            </w:pPr>
            <w:r>
              <w:rPr>
                <w:sz w:val="22"/>
              </w:rPr>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Floating Price Payer:</w:t>
            </w:r>
          </w:p>
        </w:tc>
        <w:tc>
          <w:tcPr>
            <w:tcW w:w="4788" w:type="dxa"/>
            <w:tcBorders/>
          </w:tcPr>
          <w:p>
            <w:pPr>
              <w:pStyle w:val="Normal"/>
              <w:jc w:val="both"/>
              <w:rPr>
                <w:sz w:val="22"/>
              </w:rPr>
            </w:pPr>
            <w:r>
              <w:rPr>
                <w:sz w:val="22"/>
              </w:rPr>
              <w:t>Counterparty</w:t>
            </w:r>
          </w:p>
        </w:tc>
      </w:tr>
      <w:tr>
        <w:trPr/>
        <w:tc>
          <w:tcPr>
            <w:tcW w:w="4788" w:type="dxa"/>
            <w:tcBorders/>
          </w:tcPr>
          <w:p>
            <w:pPr>
              <w:pStyle w:val="Normal"/>
              <w:snapToGrid w:val="false"/>
              <w:ind w:firstLine="720" w:end="0"/>
              <w:rPr>
                <w:sz w:val="22"/>
              </w:rPr>
            </w:pPr>
            <w:r>
              <w:rPr>
                <w:sz w:val="22"/>
              </w:rPr>
            </w:r>
          </w:p>
        </w:tc>
        <w:tc>
          <w:tcPr>
            <w:tcW w:w="4788" w:type="dxa"/>
            <w:tcBorders/>
          </w:tcPr>
          <w:p>
            <w:pPr>
              <w:pStyle w:val="Normal"/>
              <w:snapToGrid w:val="false"/>
              <w:rPr>
                <w:sz w:val="22"/>
              </w:rPr>
            </w:pPr>
            <w:r>
              <w:rPr>
                <w:sz w:val="22"/>
              </w:rPr>
            </w:r>
          </w:p>
        </w:tc>
      </w:tr>
      <w:tr>
        <w:trPr/>
        <w:tc>
          <w:tcPr>
            <w:tcW w:w="4788" w:type="dxa"/>
            <w:tcBorders/>
          </w:tcPr>
          <w:p>
            <w:pPr>
              <w:pStyle w:val="Normal"/>
              <w:ind w:firstLine="720" w:end="0"/>
              <w:jc w:val="both"/>
              <w:rPr>
                <w:sz w:val="22"/>
              </w:rPr>
            </w:pPr>
            <w:r>
              <w:rPr>
                <w:sz w:val="22"/>
              </w:rPr>
              <w:t>Floating Price:</w:t>
            </w:r>
          </w:p>
        </w:tc>
        <w:tc>
          <w:tcPr>
            <w:tcW w:w="4788" w:type="dxa"/>
            <w:tcBorders/>
          </w:tcPr>
          <w:p>
            <w:pPr>
              <w:pStyle w:val="Normal"/>
              <w:jc w:val="both"/>
              <w:rPr>
                <w:sz w:val="22"/>
              </w:rPr>
            </w:pPr>
            <w:r>
              <w:rPr>
                <w:sz w:val="22"/>
              </w:rPr>
              <w:t>The Floating Price for each Calculation Period shall be the arithmetic average of the prices per Metric Ton of Bleached Hardwood Kraft Pulp Eucalyptus, stated in U.S. Dollars, for each Pricing Date during  such Calculation Period. The Floating Price shall be determined on the last Pricing Date during such Calculation Period.</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Pricing Date(s):</w:t>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t>Fallback Reference Price:</w:t>
            </w:r>
          </w:p>
        </w:tc>
        <w:tc>
          <w:tcPr>
            <w:tcW w:w="4788" w:type="dxa"/>
            <w:tcBorders/>
          </w:tcPr>
          <w:p>
            <w:pPr>
              <w:pStyle w:val="Normal"/>
              <w:jc w:val="both"/>
              <w:rPr>
                <w:sz w:val="22"/>
              </w:rPr>
            </w:pPr>
            <w:r>
              <w:rPr>
                <w:sz w:val="22"/>
              </w:rPr>
              <w:t>For each Calculation Period, each day on which the Finnish Options Exchange publishes a PIX Pulp Benchmark Index price for Bleached Hardwood Kraft Pulp Eucalyptus</w:t>
            </w:r>
          </w:p>
          <w:p>
            <w:pPr>
              <w:pStyle w:val="Normal"/>
              <w:jc w:val="both"/>
              <w:rPr>
                <w:sz w:val="22"/>
              </w:rPr>
            </w:pPr>
            <w:r>
              <w:rPr>
                <w:sz w:val="22"/>
              </w:rPr>
            </w:r>
          </w:p>
          <w:p>
            <w:pPr>
              <w:pStyle w:val="Normal"/>
              <w:jc w:val="both"/>
              <w:rPr>
                <w:b/>
                <w:i/>
                <w:i/>
                <w:sz w:val="22"/>
              </w:rPr>
            </w:pPr>
            <w:r>
              <w:rPr>
                <w:b/>
                <w:i/>
                <w:sz w:val="22"/>
              </w:rPr>
              <w:t>[Language to be drafted.]</w:t>
            </w:r>
          </w:p>
        </w:tc>
      </w:tr>
    </w:tbl>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2.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ECT:</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Nations Bank of Texas,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Capital &amp; Trade Resources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1992 Master Agreement (Multicurrency-Cross Border) (the “ISDA Agreement”) published by the International Swaps and Derivatives Association (“ISDA”), as modified by this Confirmation.  Each party acknowledges that it has a copy of the ISDA Agreement and it has read and understands the terms and conditions thereof.  The definitions and provisions contained in the 1993 ISDA Commodity Derivatives Definitions (the “Commodity Definitions”) and the 1991 ISDA Definitions (the 1991 ISDA Definitions and the Commodity Definitions, collectively, the “Definitions”), as published by ISDA are incorporated into this Confirmation.  In the event of any inconsistency between the Definitions and this Confirmation, this Confirmation will prevail.  In the event of any inconsistency between the 1993 ISDA Commodity Derivative Definitions and the 1991 ISDA Definitions, the 1993 ISDA Commodity Derivatives Definitions will prevail.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ECT and Counterparty agree to promptly negotiate in good faith and enter into a master agreement as soon as reasonably possible in the form of the ISDA Agreement and a separate Credit Support Annex with such modifications as ECT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(b) of </w:t>
      </w:r>
      <w:r>
        <w:rPr>
          <w:u w:val="single"/>
        </w:rPr>
        <w:t>Annex A</w:t>
      </w:r>
      <w:r>
        <w:rPr/>
        <w:t xml:space="preserve">), at all times until termination of the Transaction.  In addition, each party covenants and agrees that it will deliver to the other party the Tax (as defined in the ISDA Agreement) forms, documents or certificates as required pursuant to Section (c) of </w:t>
      </w:r>
      <w:r>
        <w:rPr>
          <w:u w:val="single"/>
        </w:rPr>
        <w:t>Annex A</w:t>
      </w:r>
      <w:r>
        <w:rPr/>
        <w:t>.</w:t>
      </w:r>
    </w:p>
    <w:p>
      <w:pPr>
        <w:pStyle w:val="Normal"/>
        <w:jc w:val="both"/>
        <w:rPr/>
      </w:pPr>
      <w:r>
        <w:rPr/>
      </w:r>
    </w:p>
    <w:p>
      <w:pPr>
        <w:pStyle w:val="Normal"/>
        <w:jc w:val="both"/>
        <w:rPr/>
      </w:pPr>
      <w:r>
        <w:rPr/>
        <w:t>5.</w:t>
        <w:tab/>
      </w:r>
      <w:r>
        <w:rPr>
          <w:b/>
          <w:u w:val="single"/>
        </w:rPr>
        <w:t>Documents to be Delivered</w:t>
      </w:r>
      <w:r>
        <w:rPr>
          <w:b/>
        </w:rPr>
        <w:t>.</w:t>
      </w:r>
      <w:r>
        <w:rPr/>
        <w:t xml:space="preserve">  Within fifteen (15) Business Days from the date of this Transaction, Counterparty shall deliver to ECT a legal opinion in form and substance satisfactory to ECT and its counsel.  Counterparty shall also deliver such other documentation that ECT may request from time to time.</w:t>
      </w:r>
    </w:p>
    <w:p>
      <w:pPr>
        <w:pStyle w:val="Normal"/>
        <w:jc w:val="both"/>
        <w:rPr>
          <w:b/>
          <w:u w:val="single"/>
        </w:rPr>
      </w:pPr>
      <w:r>
        <w:rPr>
          <w:b/>
          <w:u w:val="single"/>
        </w:rPr>
      </w:r>
    </w:p>
    <w:p>
      <w:pPr>
        <w:pStyle w:val="Normal"/>
        <w:jc w:val="both"/>
        <w:rPr/>
      </w:pPr>
      <w:r>
        <w:rPr/>
        <w:t>6.</w:t>
        <w:tab/>
      </w:r>
      <w:r>
        <w:rPr>
          <w:b/>
          <w:u w:val="single"/>
        </w:rPr>
        <w:t>Additional Event of Default</w:t>
      </w:r>
      <w:r>
        <w:rPr>
          <w:b/>
        </w:rPr>
        <w:t xml:space="preserve">.  </w:t>
      </w:r>
      <w:r>
        <w:rPr/>
        <w:t>For purposes of Section 5(a) of the ISDA Agreement, the failure of Counterparty to provide a legal opinion in form and substance satisfactory to ECT within fifteen (15) Business Days from the date of this Transaction shall constitute an “Additional Event of Default”.</w:t>
      </w:r>
    </w:p>
    <w:p>
      <w:pPr>
        <w:pStyle w:val="Normal"/>
        <w:jc w:val="both"/>
        <w:rPr/>
      </w:pPr>
      <w:r>
        <w:rPr/>
      </w:r>
    </w:p>
    <w:p>
      <w:pPr>
        <w:pStyle w:val="Normal"/>
        <w:jc w:val="both"/>
        <w:rPr/>
      </w:pPr>
      <w:r>
        <w:rPr/>
        <w:t>7.</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jc w:val="both"/>
        <w:rPr/>
      </w:pPr>
      <w:r>
        <w:rPr/>
        <w:t>8.</w:t>
        <w:tab/>
      </w:r>
      <w:r>
        <w:rPr>
          <w:b/>
          <w:u w:val="single"/>
        </w:rPr>
        <w:t>Termination Currency</w:t>
      </w:r>
      <w:r>
        <w:rPr/>
        <w:t>.  Termination Currency means Euro.</w:t>
      </w:r>
    </w:p>
    <w:p>
      <w:pPr>
        <w:pStyle w:val="Normal"/>
        <w:jc w:val="both"/>
        <w:rPr/>
      </w:pPr>
      <w:r>
        <w:rPr/>
      </w:r>
    </w:p>
    <w:p>
      <w:pPr>
        <w:pStyle w:val="Normal"/>
        <w:jc w:val="both"/>
        <w:rPr/>
      </w:pPr>
      <w:r>
        <w:rPr/>
        <w:t>9.</w:t>
        <w:tab/>
      </w:r>
      <w:r>
        <w:rPr>
          <w:b/>
          <w:u w:val="single"/>
        </w:rPr>
        <w:t>Governing Law/Jurisdiction</w:t>
      </w:r>
      <w:r>
        <w:rPr>
          <w:b/>
        </w:rPr>
        <w:t>.</w:t>
      </w:r>
      <w:r>
        <w:rPr/>
        <w:t xml:space="preserve">  This Confirmation and the ISDA Agreement will be governed by and construed in accordance with the laws of the State of New York (without reference to choice of law doctrine).  Any dispute relating to this Confirmation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and such arbitration, and any related award shall be confidential.</w:t>
      </w:r>
    </w:p>
    <w:p>
      <w:pPr>
        <w:pStyle w:val="Normal"/>
        <w:jc w:val="both"/>
        <w:rPr/>
      </w:pPr>
      <w:r>
        <w:rPr/>
      </w:r>
    </w:p>
    <w:p>
      <w:pPr>
        <w:pStyle w:val="Normal"/>
        <w:jc w:val="both"/>
        <w:rPr/>
      </w:pPr>
      <w:r>
        <w:rPr/>
        <w:t>10.</w:t>
        <w:tab/>
      </w:r>
      <w:r>
        <w:rPr>
          <w:b/>
          <w:u w:val="single"/>
        </w:rPr>
        <w:t>Calculation Agent</w:t>
      </w:r>
      <w:r>
        <w:rPr>
          <w:b/>
        </w:rPr>
        <w:t>.</w:t>
      </w:r>
      <w:r>
        <w:rPr/>
        <w:t xml:space="preserve">  The Calculation Agent shall be ECT.</w:t>
      </w:r>
    </w:p>
    <w:p>
      <w:pPr>
        <w:pStyle w:val="Normal"/>
        <w:jc w:val="both"/>
        <w:rPr/>
      </w:pPr>
      <w:r>
        <w:rPr/>
      </w:r>
    </w:p>
    <w:p>
      <w:pPr>
        <w:pStyle w:val="Normal"/>
        <w:tabs>
          <w:tab w:val="clear" w:pos="720"/>
          <w:tab w:val="left" w:pos="810" w:leader="none"/>
          <w:tab w:val="left" w:pos="1170" w:leader="none"/>
        </w:tabs>
        <w:jc w:val="both"/>
        <w:rPr>
          <w:rFonts w:ascii="Arial Narrow" w:hAnsi="Arial Narrow" w:cs="Arial Narrow"/>
        </w:rPr>
      </w:pPr>
      <w:r>
        <w:rPr/>
        <w:t>11.</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keepNext w:val="true"/>
        <w:jc w:val="both"/>
        <w:rPr>
          <w:b/>
        </w:rPr>
      </w:pPr>
      <w:r>
        <w:rPr/>
        <w:t>12.</w:t>
        <w:tab/>
      </w:r>
      <w:r>
        <w:rPr>
          <w:b/>
          <w:u w:val="single"/>
        </w:rPr>
        <w:t>Offices.</w:t>
      </w:r>
    </w:p>
    <w:p>
      <w:pPr>
        <w:pStyle w:val="Normal"/>
        <w:keepNext w:val="true"/>
        <w:rPr>
          <w:b/>
        </w:rPr>
      </w:pPr>
      <w:r>
        <w:rPr>
          <w:b/>
        </w:rPr>
      </w:r>
    </w:p>
    <w:p>
      <w:pPr>
        <w:pStyle w:val="Normal"/>
        <w:keepNext w:val="true"/>
        <w:jc w:val="both"/>
        <w:rPr/>
      </w:pPr>
      <w:r>
        <w:rPr/>
        <w:tab/>
        <w:t>(a)</w:t>
        <w:tab/>
        <w:t>The office of Enron Capital and Trade Resources Corp. is and copies of any notices should be delivered to 1400 Smith Street, Houston, Texas  77002, Attention:  Director, Documentation Department, Facsimile No. (713) 646-4816; and to Attention: Assistant General Counsel, Trading Group - ECT,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pPr>
      <w:r>
        <w:rPr/>
      </w:r>
    </w:p>
    <w:p>
      <w:pPr>
        <w:pStyle w:val="Normal"/>
        <w:keepNext w:val="true"/>
        <w:jc w:val="both"/>
        <w:rPr/>
      </w:pPr>
      <w:r>
        <w:rPr/>
        <w:t>13.</w:t>
        <w:tab/>
      </w:r>
      <w:r>
        <w:rPr>
          <w:b/>
          <w:u w:val="single"/>
        </w:rPr>
        <w:t>Additional Provisions for Commodity Derivatives Transactions</w:t>
      </w:r>
      <w:r>
        <w:rPr>
          <w:b/>
        </w:rPr>
        <w:t>.</w:t>
      </w:r>
    </w:p>
    <w:p>
      <w:pPr>
        <w:pStyle w:val="Normal"/>
        <w:keepNext w:val="true"/>
        <w:jc w:val="both"/>
        <w:rPr>
          <w:b/>
          <w:u w:val="single"/>
        </w:rPr>
      </w:pPr>
      <w:r>
        <w:rPr>
          <w:b/>
          <w:u w:val="single"/>
        </w:rPr>
      </w:r>
    </w:p>
    <w:p>
      <w:pPr>
        <w:pStyle w:val="Normal"/>
        <w:ind w:firstLine="720" w:end="0"/>
        <w:jc w:val="both"/>
        <w:rPr/>
      </w:pPr>
      <w:r>
        <w:rPr/>
        <w:t>(a)</w:t>
        <w:tab/>
        <w:t>Section 7.4(d)(i) of the Commodity Definitions shall be amended to delete the “Market Disruption Events” specified in Section 7.4(c)(vi), (c)(vii) and (c)(viii), except as otherwise specified in the relevant Confirmation.</w:t>
      </w:r>
    </w:p>
    <w:p>
      <w:pPr>
        <w:pStyle w:val="Normal"/>
        <w:ind w:firstLine="720" w:end="0"/>
        <w:jc w:val="both"/>
        <w:rPr/>
      </w:pPr>
      <w:r>
        <w:rPr/>
      </w:r>
    </w:p>
    <w:p>
      <w:pPr>
        <w:pStyle w:val="Normal"/>
        <w:ind w:firstLine="720" w:end="0"/>
        <w:jc w:val="both"/>
        <w:rPr/>
      </w:pPr>
      <w:r>
        <w:rPr/>
        <w:t>(b)</w:t>
        <w:tab/>
        <w:t>Section 7.4(c)(viii) of the Commodity Definitions is hereby amended by the addition of the following at the end thereof:</w:t>
      </w:r>
    </w:p>
    <w:p>
      <w:pPr>
        <w:pStyle w:val="Normal"/>
        <w:ind w:firstLine="720" w:end="0"/>
        <w:jc w:val="both"/>
        <w:rPr/>
      </w:pPr>
      <w:r>
        <w:rPr/>
      </w:r>
    </w:p>
    <w:p>
      <w:pPr>
        <w:pStyle w:val="Normal"/>
        <w:ind w:firstLine="720" w:start="720" w:end="0"/>
        <w:jc w:val="both"/>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pPr>
      <w:r>
        <w:rPr/>
      </w:r>
    </w:p>
    <w:p>
      <w:pPr>
        <w:pStyle w:val="Normal"/>
        <w:ind w:firstLine="720" w:end="0"/>
        <w:jc w:val="both"/>
        <w:rPr/>
      </w:pPr>
      <w:r>
        <w:rPr/>
        <w:t>(c)</w:t>
        <w:tab/>
        <w:t>Section 7.5(e) of the Commodity Definitions is hereby deleted.</w:t>
      </w:r>
    </w:p>
    <w:p>
      <w:pPr>
        <w:pStyle w:val="Normal"/>
        <w:ind w:firstLine="720" w:end="0"/>
        <w:jc w:val="both"/>
        <w:rPr/>
      </w:pPr>
      <w:r>
        <w:rPr/>
      </w:r>
    </w:p>
    <w:p>
      <w:pPr>
        <w:pStyle w:val="Normal"/>
        <w:ind w:firstLine="720" w:end="0"/>
        <w:jc w:val="both"/>
        <w:rPr/>
      </w:pPr>
      <w:r>
        <w:rPr/>
        <w:t>(d)</w:t>
        <w:tab/>
        <w:t>“Additional Market Disruption Events” shall apply only if so specified in the relevant Confirmation.</w:t>
      </w:r>
    </w:p>
    <w:p>
      <w:pPr>
        <w:pStyle w:val="Normal"/>
        <w:ind w:firstLine="720" w:end="0"/>
        <w:jc w:val="both"/>
        <w:rPr/>
      </w:pPr>
      <w:r>
        <w:rPr/>
      </w:r>
    </w:p>
    <w:p>
      <w:pPr>
        <w:pStyle w:val="BodyTextIndent2"/>
        <w:widowControl/>
        <w:tabs>
          <w:tab w:val="clear" w:pos="1350"/>
        </w:tabs>
        <w:rPr>
          <w:rFonts w:ascii="Times New Roman" w:hAnsi="Times New Roman" w:cs="Times New Roman"/>
          <w:sz w:val="20"/>
        </w:rPr>
      </w:pPr>
      <w:r>
        <w:rPr>
          <w:rFonts w:cs="Times New Roman" w:ascii="Times New Roman" w:hAnsi="Times New Roman"/>
          <w:sz w:val="20"/>
        </w:rPr>
        <w:t>(e)</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0"/>
        </w:rPr>
      </w:pPr>
      <w:r>
        <w:rPr>
          <w:rFonts w:cs="Times New Roman"/>
          <w:sz w:val="20"/>
        </w:rPr>
      </w:r>
    </w:p>
    <w:p>
      <w:pPr>
        <w:pStyle w:val="Normal"/>
        <w:ind w:firstLine="720" w:start="1440" w:end="720"/>
        <w:jc w:val="both"/>
        <w:rPr/>
      </w:pPr>
      <w:r>
        <w:rPr/>
        <w:t>(i)</w:t>
        <w:tab/>
        <w:t>“Postponement”, with three (3) Commodity Business Days as the Maximum Days of Disruption;</w:t>
      </w:r>
    </w:p>
    <w:p>
      <w:pPr>
        <w:pStyle w:val="Normal"/>
        <w:ind w:firstLine="720" w:start="1440" w:end="720"/>
        <w:jc w:val="both"/>
        <w:rPr/>
      </w:pPr>
      <w:r>
        <w:rPr/>
      </w:r>
    </w:p>
    <w:p>
      <w:pPr>
        <w:pStyle w:val="Normal"/>
        <w:ind w:firstLine="720" w:start="1440" w:end="720"/>
        <w:jc w:val="both"/>
        <w:rPr/>
      </w:pPr>
      <w:r>
        <w:rPr/>
        <w:t>(ii)</w:t>
        <w:tab/>
        <w:t>“Fallback Reference Price” (if the relevant parties have specified an alternate Commodity Reference Price in the Confirmation);</w:t>
      </w:r>
    </w:p>
    <w:p>
      <w:pPr>
        <w:pStyle w:val="Normal"/>
        <w:ind w:firstLine="720" w:start="1440" w:end="720"/>
        <w:jc w:val="both"/>
        <w:rPr/>
      </w:pPr>
      <w:r>
        <w:rPr/>
      </w:r>
    </w:p>
    <w:p>
      <w:pPr>
        <w:pStyle w:val="Normal"/>
        <w:ind w:firstLine="720" w:start="1440" w:end="720"/>
        <w:jc w:val="both"/>
        <w:rPr/>
      </w:pPr>
      <w:r>
        <w:rPr/>
        <w:t>(iii)</w:t>
        <w:tab/>
        <w:t>“Negotiated Fallback” (provided that the reference in Section 7.5(c)(ii) to “fifth Business Day” shall be amended to be “twelfth Business Day”); and</w:t>
      </w:r>
    </w:p>
    <w:p>
      <w:pPr>
        <w:pStyle w:val="Normal"/>
        <w:ind w:firstLine="720" w:start="1440" w:end="720"/>
        <w:jc w:val="both"/>
        <w:rPr/>
      </w:pPr>
      <w:r>
        <w:rPr/>
      </w:r>
    </w:p>
    <w:p>
      <w:pPr>
        <w:pStyle w:val="BlockText"/>
        <w:rPr>
          <w:sz w:val="20"/>
        </w:rPr>
      </w:pPr>
      <w:r>
        <w:rPr>
          <w:sz w:val="20"/>
        </w:rPr>
        <w:tab/>
        <w:t>(iv)</w:t>
        <w:tab/>
        <w:t>The Relevant Price will be determined and calculated as set forth in the definition of “Commodity-Reference Dealers”, however, notwithstanding any reference to the number of Specified Prices in such definition, ECT shall obtain in good faith quotations from two (2) leading dealers in the relevant market and the price for that Pricing Date will be the arithmetic mean of the Specified Prices.</w:t>
      </w:r>
    </w:p>
    <w:p>
      <w:pPr>
        <w:pStyle w:val="BlockText"/>
        <w:rPr>
          <w:sz w:val="20"/>
        </w:rPr>
      </w:pPr>
      <w:r>
        <w:rPr>
          <w:sz w:val="20"/>
        </w:rPr>
      </w:r>
    </w:p>
    <w:p>
      <w:pPr>
        <w:pStyle w:val="Normal"/>
        <w:ind w:firstLine="720" w:end="0"/>
        <w:jc w:val="both"/>
        <w:rPr/>
      </w:pPr>
      <w:r>
        <w:rPr/>
        <w:t>(f)</w:t>
        <w:tab/>
        <w:t>For purposes of any Transaction in which paper or pulp is the relevant Commodity, the phrase "within 30 calendar days" in line 5 of Section 7.3 of the Commodity Definitions shall be replaced by the phrase "within 40 calendar days</w:t>
      </w:r>
      <w:r>
        <w:rPr>
          <w:color w:val="000000"/>
        </w:rPr>
        <w:t>."</w:t>
      </w:r>
    </w:p>
    <w:p>
      <w:pPr>
        <w:pStyle w:val="Normal"/>
        <w:jc w:val="both"/>
        <w:rPr>
          <w:color w:val="000000"/>
        </w:rPr>
      </w:pPr>
      <w:r>
        <w:rPr>
          <w:color w:val="000000"/>
        </w:rPr>
      </w:r>
    </w:p>
    <w:p>
      <w:pPr>
        <w:pStyle w:val="Normal"/>
        <w:jc w:val="both"/>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Capital &amp; Trade Resources Corp. is pleased to have entered into this Transaction with you.</w:t>
      </w:r>
    </w:p>
    <w:p>
      <w:pPr>
        <w:pStyle w:val="Normal"/>
        <w:rPr/>
      </w:pPr>
      <w:r>
        <w:rPr/>
      </w:r>
    </w:p>
    <w:p>
      <w:pPr>
        <w:pStyle w:val="Normal"/>
        <w:keepNext w:val="true"/>
        <w:rPr/>
      </w:pPr>
      <w:r>
        <w:rPr/>
        <w:t>Yours sincerely,</w:t>
      </w:r>
    </w:p>
    <w:p>
      <w:pPr>
        <w:pStyle w:val="Normal"/>
        <w:keepNext w:val="true"/>
        <w:rPr/>
      </w:pPr>
      <w:r>
        <w:rPr/>
      </w:r>
    </w:p>
    <w:p>
      <w:pPr>
        <w:pStyle w:val="Normal"/>
        <w:keepNext w:val="true"/>
        <w:rPr>
          <w:b/>
        </w:rPr>
      </w:pPr>
      <w:r>
        <w:rPr>
          <w:b/>
        </w:rPr>
        <w:t>ENRON CAPITAL &amp; TRADE RESOURCES CORP.</w:t>
      </w:r>
    </w:p>
    <w:p>
      <w:pPr>
        <w:pStyle w:val="Normal"/>
        <w:keepNext w:val="true"/>
        <w:rPr>
          <w:b/>
        </w:rPr>
      </w:pPr>
      <w:r>
        <w:rPr>
          <w:b/>
        </w:rPr>
      </w:r>
    </w:p>
    <w:p>
      <w:pPr>
        <w:pStyle w:val="Normal"/>
        <w:keepNext w:val="true"/>
        <w:rPr/>
      </w:pPr>
      <w:r>
        <w:rPr/>
        <w:t>By:</w:t>
        <w:tab/>
        <w:t>___________</w:t>
      </w:r>
      <w:r>
        <w:rPr>
          <w:b/>
          <w:i/>
        </w:rPr>
        <w:t>DRAFT</w:t>
      </w:r>
      <w:r>
        <w:rPr/>
        <w:t>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PORTUCEL INDUSTRIAL – EMPRESA PRODUTORA DE CELULOSE, S.A.</w:t>
      </w:r>
    </w:p>
    <w:p>
      <w:pPr>
        <w:pStyle w:val="Normal"/>
        <w:keepNext w:val="true"/>
        <w:rPr/>
      </w:pPr>
      <w:r>
        <w:rPr/>
      </w:r>
    </w:p>
    <w:p>
      <w:pPr>
        <w:pStyle w:val="Normal"/>
        <w:keepNext w:val="true"/>
        <w:rPr/>
      </w:pPr>
      <w:r>
        <w:rPr/>
        <w:t>By:</w:t>
        <w:tab/>
        <w:t>___________</w:t>
      </w:r>
      <w:r>
        <w:rPr>
          <w:b/>
          <w:i/>
        </w:rPr>
        <w:t>DRAFT</w:t>
      </w:r>
      <w:r>
        <w:rPr/>
        <w:t>_____________</w:t>
      </w:r>
    </w:p>
    <w:p>
      <w:pPr>
        <w:pStyle w:val="Normal"/>
        <w:keepNext w:val="true"/>
        <w:rPr/>
      </w:pPr>
      <w:r>
        <w:rPr/>
        <w:t>Name:</w:t>
        <w:tab/>
        <w:t>_____________________________</w:t>
      </w:r>
    </w:p>
    <w:p>
      <w:pPr>
        <w:pStyle w:val="Normal"/>
        <w:keepNext w:val="true"/>
        <w:rPr/>
      </w:pPr>
      <w:r>
        <w:rPr/>
        <w:t>Title:</w:t>
        <w:tab/>
        <w:t>_____________________________</w:t>
      </w:r>
      <w:r>
        <w:br w:type="page"/>
      </w:r>
    </w:p>
    <w:p>
      <w:pPr>
        <w:pStyle w:val="Heading1"/>
        <w:ind w:hanging="0" w:start="0"/>
        <w:jc w:val="center"/>
        <w:rPr>
          <w:sz w:val="22"/>
        </w:rPr>
      </w:pPr>
      <w:r>
        <w:rPr>
          <w:sz w:val="22"/>
        </w:rPr>
        <w:t>EXHIBIT I</w:t>
      </w:r>
    </w:p>
    <w:p>
      <w:pPr>
        <w:pStyle w:val="Normal"/>
        <w:jc w:val="center"/>
        <w:rPr>
          <w:b/>
          <w:sz w:val="22"/>
        </w:rPr>
      </w:pPr>
      <w:r>
        <w:rPr>
          <w:b/>
          <w:sz w:val="22"/>
        </w:rPr>
      </w:r>
    </w:p>
    <w:p>
      <w:pPr>
        <w:pStyle w:val="Normal"/>
        <w:jc w:val="center"/>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2394"/>
        <w:gridCol w:w="2394"/>
        <w:gridCol w:w="4788"/>
      </w:tblGrid>
      <w:tr>
        <w:trPr/>
        <w:tc>
          <w:tcPr>
            <w:tcW w:w="4788" w:type="dxa"/>
            <w:gridSpan w:val="2"/>
            <w:tcBorders/>
          </w:tcPr>
          <w:p>
            <w:pPr>
              <w:pStyle w:val="Normal"/>
              <w:jc w:val="center"/>
              <w:rPr>
                <w:sz w:val="22"/>
                <w:u w:val="single"/>
              </w:rPr>
            </w:pPr>
            <w:r>
              <w:rPr>
                <w:sz w:val="22"/>
                <w:u w:val="single"/>
              </w:rPr>
              <w:t>Calculation Period(s)</w:t>
            </w:r>
          </w:p>
        </w:tc>
        <w:tc>
          <w:tcPr>
            <w:tcW w:w="4788" w:type="dxa"/>
            <w:tcBorders/>
          </w:tcPr>
          <w:p>
            <w:pPr>
              <w:pStyle w:val="Header"/>
              <w:tabs>
                <w:tab w:val="clear" w:pos="4320"/>
                <w:tab w:val="clear" w:pos="8640"/>
              </w:tabs>
              <w:snapToGrid w:val="false"/>
              <w:jc w:val="center"/>
              <w:rPr>
                <w:sz w:val="22"/>
                <w:u w:val="single"/>
              </w:rPr>
            </w:pPr>
            <w:r>
              <w:rPr>
                <w:sz w:val="22"/>
                <w:u w:val="single"/>
              </w:rPr>
            </w:r>
          </w:p>
        </w:tc>
      </w:tr>
      <w:tr>
        <w:trPr/>
        <w:tc>
          <w:tcPr>
            <w:tcW w:w="4788" w:type="dxa"/>
            <w:gridSpan w:val="2"/>
            <w:tcBorders/>
          </w:tcPr>
          <w:p>
            <w:pPr>
              <w:pStyle w:val="Normal"/>
              <w:snapToGrid w:val="false"/>
              <w:jc w:val="center"/>
              <w:rPr>
                <w:b/>
                <w:sz w:val="22"/>
                <w:u w:val="single"/>
              </w:rPr>
            </w:pPr>
            <w:r>
              <w:rPr>
                <w:b/>
                <w:sz w:val="22"/>
                <w:u w:val="single"/>
              </w:rPr>
            </w:r>
          </w:p>
        </w:tc>
        <w:tc>
          <w:tcPr>
            <w:tcW w:w="4788" w:type="dxa"/>
            <w:tcBorders/>
          </w:tcPr>
          <w:p>
            <w:pPr>
              <w:pStyle w:val="Header"/>
              <w:tabs>
                <w:tab w:val="clear" w:pos="4320"/>
                <w:tab w:val="clear" w:pos="8640"/>
              </w:tabs>
              <w:snapToGrid w:val="false"/>
              <w:jc w:val="center"/>
              <w:rPr>
                <w:sz w:val="22"/>
              </w:rPr>
            </w:pPr>
            <w:r>
              <w:rPr>
                <w:sz w:val="22"/>
              </w:rPr>
            </w:r>
          </w:p>
        </w:tc>
      </w:tr>
      <w:tr>
        <w:trPr/>
        <w:tc>
          <w:tcPr>
            <w:tcW w:w="2394" w:type="dxa"/>
            <w:tcBorders/>
          </w:tcPr>
          <w:p>
            <w:pPr>
              <w:pStyle w:val="Normal"/>
              <w:jc w:val="center"/>
              <w:rPr>
                <w:sz w:val="22"/>
                <w:u w:val="single"/>
              </w:rPr>
            </w:pPr>
            <w:r>
              <w:rPr>
                <w:sz w:val="22"/>
                <w:u w:val="single"/>
              </w:rPr>
              <w:t>From</w:t>
            </w:r>
          </w:p>
        </w:tc>
        <w:tc>
          <w:tcPr>
            <w:tcW w:w="2394" w:type="dxa"/>
            <w:tcBorders/>
          </w:tcPr>
          <w:p>
            <w:pPr>
              <w:pStyle w:val="Heading1"/>
              <w:ind w:hanging="0" w:start="0"/>
              <w:jc w:val="center"/>
              <w:rPr>
                <w:b w:val="false"/>
                <w:sz w:val="22"/>
                <w:u w:val="single"/>
              </w:rPr>
            </w:pPr>
            <w:r>
              <w:rPr>
                <w:b w:val="false"/>
                <w:sz w:val="22"/>
                <w:u w:val="single"/>
              </w:rPr>
              <w:t>To</w:t>
            </w:r>
          </w:p>
        </w:tc>
        <w:tc>
          <w:tcPr>
            <w:tcW w:w="4788" w:type="dxa"/>
            <w:tcBorders/>
          </w:tcPr>
          <w:p>
            <w:pPr>
              <w:pStyle w:val="Header"/>
              <w:tabs>
                <w:tab w:val="clear" w:pos="4320"/>
                <w:tab w:val="clear" w:pos="8640"/>
              </w:tabs>
              <w:snapToGrid w:val="false"/>
              <w:rPr>
                <w:b w:val="false"/>
                <w:sz w:val="22"/>
                <w:u w:val="single"/>
              </w:rPr>
            </w:pPr>
            <w:r>
              <w:rPr>
                <w:b w:val="false"/>
                <w:sz w:val="22"/>
                <w:u w:val="single"/>
              </w:rPr>
            </w:r>
          </w:p>
        </w:tc>
      </w:tr>
      <w:tr>
        <w:trPr/>
        <w:tc>
          <w:tcPr>
            <w:tcW w:w="2394" w:type="dxa"/>
            <w:tcBorders/>
          </w:tcPr>
          <w:p>
            <w:pPr>
              <w:pStyle w:val="Header"/>
              <w:tabs>
                <w:tab w:val="clear" w:pos="4320"/>
                <w:tab w:val="clear" w:pos="8640"/>
              </w:tabs>
              <w:snapToGrid w:val="false"/>
              <w:jc w:val="center"/>
              <w:rPr>
                <w:b/>
                <w:color w:val="0000FF"/>
                <w:sz w:val="22"/>
                <w:u w:val="single"/>
              </w:rPr>
            </w:pPr>
            <w:r>
              <w:rPr>
                <w:b/>
                <w:color w:val="0000FF"/>
                <w:sz w:val="22"/>
                <w:u w:val="single"/>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jc w:val="center"/>
              <w:rPr>
                <w:color w:val="0000FF"/>
                <w:sz w:val="22"/>
              </w:rPr>
            </w:pPr>
            <w:r>
              <w:rPr>
                <w:color w:val="0000FF"/>
                <w:sz w:val="22"/>
              </w:rPr>
              <w:t>July 1, 1999</w:t>
            </w:r>
          </w:p>
        </w:tc>
        <w:tc>
          <w:tcPr>
            <w:tcW w:w="2394" w:type="dxa"/>
            <w:tcBorders/>
          </w:tcPr>
          <w:p>
            <w:pPr>
              <w:pStyle w:val="Normal"/>
              <w:jc w:val="center"/>
              <w:rPr>
                <w:color w:val="0000FF"/>
                <w:sz w:val="22"/>
              </w:rPr>
            </w:pPr>
            <w:r>
              <w:rPr>
                <w:color w:val="0000FF"/>
                <w:sz w:val="22"/>
              </w:rPr>
              <w:t>September 30, 1999</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October 1, 1999</w:t>
            </w:r>
          </w:p>
        </w:tc>
        <w:tc>
          <w:tcPr>
            <w:tcW w:w="2394" w:type="dxa"/>
            <w:tcBorders/>
          </w:tcPr>
          <w:p>
            <w:pPr>
              <w:pStyle w:val="Normal"/>
              <w:jc w:val="center"/>
              <w:rPr>
                <w:color w:val="0000FF"/>
                <w:sz w:val="22"/>
              </w:rPr>
            </w:pPr>
            <w:r>
              <w:rPr>
                <w:color w:val="0000FF"/>
                <w:sz w:val="22"/>
              </w:rPr>
              <w:t>December 31, 1999</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January 1, 2000</w:t>
            </w:r>
          </w:p>
        </w:tc>
        <w:tc>
          <w:tcPr>
            <w:tcW w:w="2394" w:type="dxa"/>
            <w:tcBorders/>
          </w:tcPr>
          <w:p>
            <w:pPr>
              <w:pStyle w:val="Normal"/>
              <w:jc w:val="center"/>
              <w:rPr>
                <w:color w:val="0000FF"/>
                <w:sz w:val="22"/>
              </w:rPr>
            </w:pPr>
            <w:r>
              <w:rPr>
                <w:color w:val="0000FF"/>
                <w:sz w:val="22"/>
              </w:rPr>
              <w:t>March 31, 2000</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snapToGrid w:val="false"/>
              <w:jc w:val="center"/>
              <w:rPr>
                <w:b/>
                <w:color w:val="0000FF"/>
                <w:sz w:val="22"/>
              </w:rPr>
            </w:pPr>
            <w:r>
              <w:rPr>
                <w:b/>
                <w:color w:val="0000FF"/>
                <w:sz w:val="22"/>
              </w:rPr>
            </w:r>
          </w:p>
        </w:tc>
        <w:tc>
          <w:tcPr>
            <w:tcW w:w="2394" w:type="dxa"/>
            <w:tcBorders/>
          </w:tcPr>
          <w:p>
            <w:pPr>
              <w:pStyle w:val="Normal"/>
              <w:snapToGrid w:val="false"/>
              <w:jc w:val="center"/>
              <w:rPr>
                <w:sz w:val="22"/>
              </w:rPr>
            </w:pPr>
            <w:r>
              <w:rPr>
                <w:sz w:val="22"/>
              </w:rPr>
            </w:r>
          </w:p>
        </w:tc>
        <w:tc>
          <w:tcPr>
            <w:tcW w:w="4788" w:type="dxa"/>
            <w:tcBorders/>
          </w:tcPr>
          <w:p>
            <w:pPr>
              <w:pStyle w:val="Normal"/>
              <w:snapToGrid w:val="false"/>
              <w:jc w:val="center"/>
              <w:rPr>
                <w:sz w:val="22"/>
              </w:rPr>
            </w:pPr>
            <w:r>
              <w:rPr>
                <w:sz w:val="22"/>
              </w:rPr>
            </w:r>
          </w:p>
        </w:tc>
      </w:tr>
      <w:tr>
        <w:trPr/>
        <w:tc>
          <w:tcPr>
            <w:tcW w:w="2394" w:type="dxa"/>
            <w:tcBorders/>
          </w:tcPr>
          <w:p>
            <w:pPr>
              <w:pStyle w:val="Header"/>
              <w:tabs>
                <w:tab w:val="clear" w:pos="4320"/>
                <w:tab w:val="clear" w:pos="8640"/>
              </w:tabs>
              <w:jc w:val="center"/>
              <w:rPr>
                <w:color w:val="0000FF"/>
                <w:sz w:val="22"/>
              </w:rPr>
            </w:pPr>
            <w:r>
              <w:rPr>
                <w:color w:val="0000FF"/>
                <w:sz w:val="22"/>
              </w:rPr>
              <w:t>April 1, 2000</w:t>
            </w:r>
          </w:p>
        </w:tc>
        <w:tc>
          <w:tcPr>
            <w:tcW w:w="2394" w:type="dxa"/>
            <w:tcBorders/>
          </w:tcPr>
          <w:p>
            <w:pPr>
              <w:pStyle w:val="Normal"/>
              <w:jc w:val="center"/>
              <w:rPr>
                <w:color w:val="0000FF"/>
                <w:sz w:val="22"/>
              </w:rPr>
            </w:pPr>
            <w:r>
              <w:rPr>
                <w:color w:val="0000FF"/>
                <w:sz w:val="22"/>
              </w:rPr>
              <w:t>June 30, 2000</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jc w:val="center"/>
              <w:rPr>
                <w:color w:val="0000FF"/>
                <w:sz w:val="22"/>
              </w:rPr>
            </w:pPr>
            <w:r>
              <w:rPr>
                <w:color w:val="0000FF"/>
                <w:sz w:val="22"/>
              </w:rPr>
              <w:t>July 1, 2000</w:t>
            </w:r>
          </w:p>
        </w:tc>
        <w:tc>
          <w:tcPr>
            <w:tcW w:w="2394" w:type="dxa"/>
            <w:tcBorders/>
          </w:tcPr>
          <w:p>
            <w:pPr>
              <w:pStyle w:val="Normal"/>
              <w:jc w:val="center"/>
              <w:rPr>
                <w:color w:val="0000FF"/>
                <w:sz w:val="22"/>
              </w:rPr>
            </w:pPr>
            <w:r>
              <w:rPr>
                <w:color w:val="0000FF"/>
                <w:sz w:val="22"/>
              </w:rPr>
              <w:t>September 30, 2000</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October 1, 2000</w:t>
            </w:r>
          </w:p>
        </w:tc>
        <w:tc>
          <w:tcPr>
            <w:tcW w:w="2394" w:type="dxa"/>
            <w:tcBorders/>
          </w:tcPr>
          <w:p>
            <w:pPr>
              <w:pStyle w:val="Normal"/>
              <w:jc w:val="center"/>
              <w:rPr>
                <w:color w:val="0000FF"/>
                <w:sz w:val="22"/>
              </w:rPr>
            </w:pPr>
            <w:r>
              <w:rPr>
                <w:color w:val="0000FF"/>
                <w:sz w:val="22"/>
              </w:rPr>
              <w:t>December 31, 2000</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January 1, 2001</w:t>
            </w:r>
          </w:p>
        </w:tc>
        <w:tc>
          <w:tcPr>
            <w:tcW w:w="2394" w:type="dxa"/>
            <w:tcBorders/>
          </w:tcPr>
          <w:p>
            <w:pPr>
              <w:pStyle w:val="Normal"/>
              <w:jc w:val="center"/>
              <w:rPr>
                <w:color w:val="0000FF"/>
                <w:sz w:val="22"/>
              </w:rPr>
            </w:pPr>
            <w:r>
              <w:rPr>
                <w:color w:val="0000FF"/>
                <w:sz w:val="22"/>
              </w:rPr>
              <w:t>March 31, 2001</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sz w:val="22"/>
              </w:rPr>
            </w:pPr>
            <w:r>
              <w:rPr>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jc w:val="center"/>
              <w:rPr>
                <w:color w:val="0000FF"/>
                <w:sz w:val="22"/>
              </w:rPr>
            </w:pPr>
            <w:r>
              <w:rPr>
                <w:color w:val="0000FF"/>
                <w:sz w:val="22"/>
              </w:rPr>
              <w:t>April 1, 2001</w:t>
            </w:r>
          </w:p>
        </w:tc>
        <w:tc>
          <w:tcPr>
            <w:tcW w:w="2394" w:type="dxa"/>
            <w:tcBorders/>
          </w:tcPr>
          <w:p>
            <w:pPr>
              <w:pStyle w:val="Normal"/>
              <w:jc w:val="center"/>
              <w:rPr>
                <w:color w:val="0000FF"/>
                <w:sz w:val="22"/>
              </w:rPr>
            </w:pPr>
            <w:r>
              <w:rPr>
                <w:color w:val="0000FF"/>
                <w:sz w:val="22"/>
              </w:rPr>
              <w:t>June 30, 2001</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Header"/>
              <w:tabs>
                <w:tab w:val="clear" w:pos="4320"/>
                <w:tab w:val="clear" w:pos="8640"/>
              </w:tabs>
              <w:jc w:val="center"/>
              <w:rPr>
                <w:color w:val="0000FF"/>
                <w:sz w:val="22"/>
              </w:rPr>
            </w:pPr>
            <w:r>
              <w:rPr>
                <w:color w:val="0000FF"/>
                <w:sz w:val="22"/>
              </w:rPr>
              <w:t>July 1, 2001</w:t>
            </w:r>
          </w:p>
        </w:tc>
        <w:tc>
          <w:tcPr>
            <w:tcW w:w="2394" w:type="dxa"/>
            <w:tcBorders/>
          </w:tcPr>
          <w:p>
            <w:pPr>
              <w:pStyle w:val="Normal"/>
              <w:jc w:val="center"/>
              <w:rPr>
                <w:color w:val="0000FF"/>
                <w:sz w:val="22"/>
              </w:rPr>
            </w:pPr>
            <w:r>
              <w:rPr>
                <w:color w:val="0000FF"/>
                <w:sz w:val="22"/>
              </w:rPr>
              <w:t>September 30, 2001</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October 1, 2001</w:t>
            </w:r>
          </w:p>
        </w:tc>
        <w:tc>
          <w:tcPr>
            <w:tcW w:w="2394" w:type="dxa"/>
            <w:tcBorders/>
          </w:tcPr>
          <w:p>
            <w:pPr>
              <w:pStyle w:val="Normal"/>
              <w:jc w:val="center"/>
              <w:rPr>
                <w:color w:val="0000FF"/>
                <w:sz w:val="22"/>
              </w:rPr>
            </w:pPr>
            <w:r>
              <w:rPr>
                <w:color w:val="0000FF"/>
                <w:sz w:val="22"/>
              </w:rPr>
              <w:t>December 31, 2001</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color w:val="0000FF"/>
                <w:sz w:val="22"/>
              </w:rPr>
            </w:pPr>
            <w:r>
              <w:rPr>
                <w:color w:val="0000FF"/>
                <w:sz w:val="22"/>
              </w:rPr>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jc w:val="center"/>
              <w:rPr>
                <w:color w:val="0000FF"/>
                <w:sz w:val="22"/>
              </w:rPr>
            </w:pPr>
            <w:r>
              <w:rPr>
                <w:color w:val="0000FF"/>
                <w:sz w:val="22"/>
              </w:rPr>
              <w:t>January 1, 2002</w:t>
            </w:r>
          </w:p>
        </w:tc>
        <w:tc>
          <w:tcPr>
            <w:tcW w:w="2394" w:type="dxa"/>
            <w:tcBorders/>
          </w:tcPr>
          <w:p>
            <w:pPr>
              <w:pStyle w:val="Normal"/>
              <w:jc w:val="center"/>
              <w:rPr>
                <w:color w:val="0000FF"/>
                <w:sz w:val="22"/>
              </w:rPr>
            </w:pPr>
            <w:r>
              <w:rPr>
                <w:color w:val="0000FF"/>
                <w:sz w:val="22"/>
              </w:rPr>
              <w:t>March 31, 2002</w:t>
            </w:r>
          </w:p>
        </w:tc>
        <w:tc>
          <w:tcPr>
            <w:tcW w:w="4788" w:type="dxa"/>
            <w:tcBorders/>
          </w:tcPr>
          <w:p>
            <w:pPr>
              <w:pStyle w:val="Normal"/>
              <w:snapToGrid w:val="false"/>
              <w:jc w:val="center"/>
              <w:rPr>
                <w:color w:val="0000FF"/>
                <w:sz w:val="22"/>
              </w:rPr>
            </w:pPr>
            <w:r>
              <w:rPr>
                <w:color w:val="0000FF"/>
                <w:sz w:val="22"/>
              </w:rPr>
            </w:r>
          </w:p>
        </w:tc>
      </w:tr>
      <w:tr>
        <w:trPr/>
        <w:tc>
          <w:tcPr>
            <w:tcW w:w="2394" w:type="dxa"/>
            <w:tcBorders/>
          </w:tcPr>
          <w:p>
            <w:pPr>
              <w:pStyle w:val="Normal"/>
              <w:snapToGrid w:val="false"/>
              <w:jc w:val="center"/>
              <w:rPr>
                <w:b/>
                <w:color w:val="0000FF"/>
                <w:sz w:val="22"/>
              </w:rPr>
            </w:pPr>
            <w:r>
              <w:rPr>
                <w:b/>
                <w:color w:val="0000FF"/>
                <w:sz w:val="22"/>
              </w:rPr>
            </w:r>
          </w:p>
        </w:tc>
        <w:tc>
          <w:tcPr>
            <w:tcW w:w="2394" w:type="dxa"/>
            <w:tcBorders/>
          </w:tcPr>
          <w:p>
            <w:pPr>
              <w:pStyle w:val="Normal"/>
              <w:snapToGrid w:val="false"/>
              <w:jc w:val="center"/>
              <w:rPr>
                <w:sz w:val="22"/>
              </w:rPr>
            </w:pPr>
            <w:r>
              <w:rPr>
                <w:sz w:val="22"/>
              </w:rPr>
            </w:r>
          </w:p>
        </w:tc>
        <w:tc>
          <w:tcPr>
            <w:tcW w:w="4788" w:type="dxa"/>
            <w:tcBorders/>
          </w:tcPr>
          <w:p>
            <w:pPr>
              <w:pStyle w:val="Normal"/>
              <w:snapToGrid w:val="false"/>
              <w:jc w:val="center"/>
              <w:rPr>
                <w:sz w:val="22"/>
              </w:rPr>
            </w:pPr>
            <w:r>
              <w:rPr>
                <w:sz w:val="22"/>
              </w:rPr>
            </w:r>
          </w:p>
        </w:tc>
      </w:tr>
      <w:tr>
        <w:trPr/>
        <w:tc>
          <w:tcPr>
            <w:tcW w:w="2394" w:type="dxa"/>
            <w:tcBorders/>
          </w:tcPr>
          <w:p>
            <w:pPr>
              <w:pStyle w:val="Normal"/>
              <w:jc w:val="center"/>
              <w:rPr>
                <w:sz w:val="22"/>
              </w:rPr>
            </w:pPr>
            <w:r>
              <w:rPr>
                <w:sz w:val="22"/>
              </w:rPr>
              <w:t>April 1, 2002</w:t>
            </w:r>
          </w:p>
        </w:tc>
        <w:tc>
          <w:tcPr>
            <w:tcW w:w="2394" w:type="dxa"/>
            <w:tcBorders/>
          </w:tcPr>
          <w:p>
            <w:pPr>
              <w:pStyle w:val="Normal"/>
              <w:jc w:val="center"/>
              <w:rPr>
                <w:sz w:val="22"/>
              </w:rPr>
            </w:pPr>
            <w:r>
              <w:rPr>
                <w:sz w:val="22"/>
              </w:rPr>
              <w:t>June 30, 2002</w:t>
            </w:r>
          </w:p>
        </w:tc>
        <w:tc>
          <w:tcPr>
            <w:tcW w:w="4788" w:type="dxa"/>
            <w:tcBorders/>
          </w:tcPr>
          <w:p>
            <w:pPr>
              <w:pStyle w:val="Normal"/>
              <w:snapToGrid w:val="false"/>
              <w:jc w:val="center"/>
              <w:rPr>
                <w:sz w:val="22"/>
              </w:rPr>
            </w:pPr>
            <w:r>
              <w:rPr>
                <w:sz w:val="22"/>
              </w:rPr>
            </w:r>
          </w:p>
        </w:tc>
      </w:tr>
    </w:tbl>
    <w:p>
      <w:pPr>
        <w:pStyle w:val="Normal"/>
        <w:keepNext w:val="true"/>
        <w:rPr>
          <w:sz w:val="22"/>
        </w:rPr>
      </w:pPr>
      <w:r>
        <w:rPr>
          <w:sz w:val="22"/>
        </w:rPr>
      </w:r>
    </w:p>
    <w:p>
      <w:pPr>
        <w:pStyle w:val="Normal"/>
        <w:keepNext w:val="true"/>
        <w:spacing w:lineRule="exact" w:line="240"/>
        <w:jc w:val="center"/>
        <w:rPr>
          <w:b/>
          <w:sz w:val="22"/>
        </w:rPr>
      </w:pPr>
      <w:r>
        <w:rPr>
          <w:b/>
          <w:sz w:val="22"/>
        </w:rPr>
      </w:r>
      <w:r>
        <w:br w:type="page"/>
      </w:r>
    </w:p>
    <w:p>
      <w:pPr>
        <w:pStyle w:val="Normal"/>
        <w:keepNext w:val="true"/>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ECT: Enron Capital &amp; Trade Resources Corp.</w:t>
      </w:r>
    </w:p>
    <w:p>
      <w:pPr>
        <w:pStyle w:val="Normal"/>
        <w:keepNext w:val="true"/>
        <w:jc w:val="center"/>
        <w:rPr>
          <w:b/>
        </w:rPr>
      </w:pPr>
      <w:r>
        <w:rPr>
          <w:b/>
        </w:rPr>
        <w:t>Counterparty: Foreign Counterparty That is (i) Resident in a</w:t>
      </w:r>
    </w:p>
    <w:p>
      <w:pPr>
        <w:pStyle w:val="Normal"/>
        <w:keepNext w:val="true"/>
        <w:jc w:val="center"/>
        <w:rPr>
          <w:b/>
        </w:rPr>
      </w:pPr>
      <w:r>
        <w:rPr>
          <w:b/>
        </w:rPr>
        <w:t>Treaty Jurisdiction and (ii) Acting Exclusively</w:t>
      </w:r>
    </w:p>
    <w:p>
      <w:pPr>
        <w:pStyle w:val="Normal"/>
        <w:keepNext w:val="true"/>
        <w:jc w:val="center"/>
        <w:rPr>
          <w:b/>
        </w:rPr>
      </w:pPr>
      <w:r>
        <w:rPr>
          <w:b/>
        </w:rPr>
        <w:t>Through Non-U.S. Branches or Offices</w:t>
      </w:r>
    </w:p>
    <w:p>
      <w:pPr>
        <w:pStyle w:val="Normal"/>
        <w:keepNext w:val="true"/>
        <w:jc w:val="center"/>
        <w:rPr>
          <w:b/>
        </w:rPr>
      </w:pPr>
      <w:r>
        <w:rPr>
          <w:b/>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ECT and Counterparty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ECT and Counterparty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means the income tax treaty between the United States and Portugal.</w:t>
      </w:r>
    </w:p>
    <w:p>
      <w:pPr>
        <w:pStyle w:val="Normal"/>
        <w:spacing w:lineRule="exact" w:line="240" w:before="240" w:after="0"/>
        <w:jc w:val="both"/>
        <w:rPr/>
      </w:pPr>
      <w:r>
        <w:rPr/>
        <w:t>"</w:t>
      </w:r>
      <w:r>
        <w:rPr>
          <w:b/>
        </w:rPr>
        <w:t>Specified Jurisdiction</w:t>
      </w:r>
      <w:r>
        <w:rPr/>
        <w:t>" means, with respect to ECT, Portugal.</w:t>
      </w:r>
    </w:p>
    <w:p>
      <w:pPr>
        <w:pStyle w:val="Normal"/>
        <w:spacing w:lineRule="exact" w:line="240" w:before="240" w:after="0"/>
        <w:jc w:val="both"/>
        <w:rPr/>
      </w:pPr>
      <w:r>
        <w:rPr/>
        <w:t>"</w:t>
      </w:r>
      <w:r>
        <w:rPr>
          <w:b/>
        </w:rPr>
        <w:t>Specified Jurisdiction</w:t>
      </w:r>
      <w:r>
        <w:rPr/>
        <w:t>" means, with respect to Counterparty, the United States.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the Tax forms, documents, or certificates to be delivered are:</w:t>
      </w:r>
    </w:p>
    <w:p>
      <w:pPr>
        <w:pStyle w:val="Normal"/>
        <w:spacing w:lineRule="exact" w:line="240" w:before="240" w:after="0"/>
        <w:ind w:hanging="720" w:start="720" w:end="0"/>
        <w:jc w:val="both"/>
        <w:rPr/>
      </w:pPr>
      <w:r>
        <w:rPr/>
        <w:t>(a)</w:t>
        <w:tab/>
        <w:t>Counterparty agrees to complete (accurately and in a manner reasonably satisfactory to ECT), execute, and deliver to ECT a United States Internal Revenue Service Form 1001, or any successor form, (i) before the first Scheduled Payment Date under this Agreement, (ii) before December 31st of each third successive calendar year, (iii) promptly upon reasonable demand by ECT, and (iv) promptly upon learning that any such form previously provided by Counterparty has become obsolete or incorrect.</w:t>
      </w:r>
    </w:p>
    <w:p>
      <w:pPr>
        <w:pStyle w:val="Normal"/>
        <w:spacing w:lineRule="exact" w:line="240" w:before="240" w:after="0"/>
        <w:ind w:hanging="720" w:start="720" w:end="0"/>
        <w:jc w:val="both"/>
        <w:rPr/>
      </w:pPr>
      <w:r>
        <w:rPr/>
        <w:t>(b)</w:t>
        <w:tab/>
        <w:t>Counterparty agrees to complete (accurately and in a manner reasonably satisfactory to ECT), execute, and deliver to ECT a United States Internal Revenue Service Form W-8, or any successor form, (i) before the first Scheduled Payment Date under this Agreement, (ii) before December 31st of each second succeeding calendar year, (iii) promptly upon reasonable demand by ECT, and (iv) promptly upon learning that any such form previously provided by Counterparty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the Confirmation or the ISDA Agreement.</w:t>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p>
    <w:pPr>
      <w:pStyle w:val="Footer"/>
      <w:jc w:val="both"/>
      <w:rPr/>
    </w:pPr>
    <w:r>
      <w:rPr>
        <w:b/>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Contract No. EY7925.1</w:t>
    </w:r>
  </w:p>
  <w:p>
    <w:pPr>
      <w:pStyle w:val="Header"/>
      <w:rPr/>
    </w:pPr>
    <w:r>
      <w:rPr/>
      <w:tab/>
    </w:r>
    <w:r>
      <w:rPr>
        <w:rStyle w:val="PageNumber"/>
        <w:b/>
        <w:sz w:val="22"/>
      </w:rPr>
      <w:t>DRAFT PROPOSAL</w:t>
    </w:r>
  </w:p>
  <w:p>
    <w:pPr>
      <w:pStyle w:val="Header"/>
      <w:rPr>
        <w:rStyle w:val="PageNumber"/>
        <w:b/>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FootnoteText">
    <w:name w:val="footnote text"/>
    <w:basedOn w:val="Normal"/>
    <w:pPr/>
    <w:rPr>
      <w:rFonts w:ascii="Tms Rmn" w:hAnsi="Tms Rmn" w:cs="Tms Rmn"/>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BlockText">
    <w:name w:val="Block Text"/>
    <w:basedOn w:val="Normal"/>
    <w:qFormat/>
    <w:pPr>
      <w:ind w:hanging="0" w:start="1440" w:end="72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1999-07-02T11:19:00Z</dcterms:created>
  <dc:creator>ECT</dc:creator>
  <dc:description/>
  <dc:language>en-CA</dc:language>
  <cp:lastModifiedBy>Lucy Ortiz</cp:lastModifiedBy>
  <cp:lastPrinted>1999-07-02T11:27:00Z</cp:lastPrinted>
  <dcterms:modified xsi:type="dcterms:W3CDTF">1999-07-02T14:26:00Z</dcterms:modified>
  <cp:revision>21</cp:revision>
  <dc:subject/>
  <dc:title>“DEEMED ISDA” CONFIRMATION</dc:title>
</cp:coreProperties>
</file>