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pPr>
      <w:r>
        <w:rPr/>
        <w:t>Portland General</w:t>
      </w:r>
    </w:p>
    <w:p>
      <w:pPr>
        <w:pStyle w:val="Normal"/>
        <w:ind w:hanging="1440" w:start="1440" w:end="0"/>
        <w:jc w:val="center"/>
        <w:rPr>
          <w:b/>
          <w:bCs/>
        </w:rPr>
      </w:pPr>
      <w:r>
        <w:rPr>
          <w:b/>
          <w:bCs/>
        </w:rPr>
        <w:t>Sale Proceeds Monetization</w:t>
      </w:r>
    </w:p>
    <w:p>
      <w:pPr>
        <w:pStyle w:val="Normal"/>
        <w:ind w:hanging="1440" w:start="1440" w:end="0"/>
        <w:rPr>
          <w:b/>
          <w:bCs/>
        </w:rPr>
      </w:pPr>
      <w:r>
        <w:rPr>
          <w:b/>
          <w:bCs/>
        </w:rPr>
      </w:r>
    </w:p>
    <w:p>
      <w:pPr>
        <w:pStyle w:val="Normal"/>
        <w:ind w:hanging="1440" w:start="1440" w:end="0"/>
        <w:rPr/>
      </w:pPr>
      <w:r>
        <w:rPr/>
        <w:t xml:space="preserve">Purpose:  </w:t>
        <w:tab/>
        <w:t>Bring forward expected sale proceeds from the sale of Portland General to Northwest Natural.  Terms of the sale:  Expected close is 4</w:t>
      </w:r>
      <w:r>
        <w:rPr>
          <w:vertAlign w:val="superscript"/>
        </w:rPr>
        <w:t>th</w:t>
      </w:r>
      <w:r>
        <w:rPr/>
        <w:t xml:space="preserve"> quarter 2002; proceeds of $1.55 billion in cash, $200 million in preferred stock and common stock purchase units, $50 million in NW Natural common stock, and the assumption of Enron’s $75 million balance of customer benefits obligations; NW Natural will assume Portland General’s debt.  Total present valuation for Portland General is $1.875 billion.  This transaction will be structured to focus solely on the cash portion of the sale.</w:t>
      </w:r>
    </w:p>
    <w:p>
      <w:pPr>
        <w:pStyle w:val="Normal"/>
        <w:ind w:hanging="1440" w:start="1440" w:end="0"/>
        <w:rPr/>
      </w:pPr>
      <w:r>
        <w:rPr/>
      </w:r>
    </w:p>
    <w:p>
      <w:pPr>
        <w:pStyle w:val="Normal"/>
        <w:ind w:hanging="1440" w:start="1440" w:end="0"/>
        <w:rPr/>
      </w:pPr>
      <w:r>
        <w:rPr/>
        <w:t>Transaction Overview</w:t>
      </w:r>
    </w:p>
    <w:p>
      <w:pPr>
        <w:pStyle w:val="Normal"/>
        <w:ind w:hanging="1440" w:start="1440" w:end="0"/>
        <w:rPr/>
      </w:pPr>
      <w:r>
        <w:rPr/>
      </w:r>
    </w:p>
    <w:p>
      <w:pPr>
        <w:pStyle w:val="Normal"/>
        <w:ind w:hanging="1440" w:start="1440" w:end="0"/>
        <w:rPr/>
      </w:pPr>
      <w:r>
        <w:rPr/>
        <w:t>Swap 1:</w:t>
        <w:tab/>
        <w:t>Enron will receive fixed and a Bank will receive floating on a fixed-floating equity swap.  The floating leg value will be based on the sale price of the Portland General Equity, minus $325 million (expected non-cash proceeds of the sale).  The fixed leg value will be $1.55 billion.  The fixed leg will be accelerated and paid at closing; the floating leg payment date will be the date of ultimate sale of the underlying Portland General equity.</w:t>
      </w:r>
    </w:p>
    <w:p>
      <w:pPr>
        <w:pStyle w:val="Normal"/>
        <w:ind w:hanging="1440" w:start="1440" w:end="0"/>
        <w:rPr/>
      </w:pPr>
      <w:r>
        <w:rPr/>
      </w:r>
    </w:p>
    <w:p>
      <w:pPr>
        <w:pStyle w:val="Normal"/>
        <w:ind w:start="1440" w:end="0"/>
        <w:rPr/>
      </w:pPr>
      <w:r>
        <w:rPr/>
        <w:t>The floating leg rate will be equal to total dividends received from Portland General.  The fixed leg rate will be set so that the swap will be valued at-the-money given (a) expected sale proceeds (b) the expected sale date and (c) the expected level of dividends (floating leg rate).</w:t>
      </w:r>
    </w:p>
    <w:p>
      <w:pPr>
        <w:pStyle w:val="Normal"/>
        <w:ind w:hanging="1440" w:start="1440" w:end="0"/>
        <w:rPr/>
      </w:pPr>
      <w:r>
        <w:rPr/>
      </w:r>
    </w:p>
    <w:p>
      <w:pPr>
        <w:pStyle w:val="Normal"/>
        <w:ind w:start="1440" w:end="0"/>
        <w:rPr/>
      </w:pPr>
      <w:r>
        <w:rPr/>
        <w:t>Enron will be required to post collateral against its obligations under the swap.  Instead of cash collateral, Enron would grant a security interest in (a) the equity of Portland General, entitling the Bank to all realized cash flows, including dividends and ultimate sales proceeds; and (b) the NW Natural Purchase and Sale Agreement (PSA), including all cash accruing to Enron through that contract.  Sales proceeds from NW Natural and Portland General dividends paid directly to Enron will instead be paid to a Trust, which will then make distributions to the Bank and to Enron.</w:t>
      </w:r>
    </w:p>
    <w:p>
      <w:pPr>
        <w:pStyle w:val="Normal"/>
        <w:ind w:start="1440" w:end="0"/>
        <w:rPr/>
      </w:pPr>
      <w:r>
        <w:rPr/>
      </w:r>
    </w:p>
    <w:p>
      <w:pPr>
        <w:pStyle w:val="Normal"/>
        <w:ind w:hanging="1440" w:start="1440" w:end="0"/>
        <w:rPr/>
      </w:pPr>
      <w:r>
        <w:rPr/>
        <w:t>Swap 2:</w:t>
        <w:tab/>
        <w:t>Enron will receive floating and a second Bank will receive fixed on a fixed-floating equity swap.  The floating leg value will be based on the sale price of the Portland General Equity, minus $325 million, minus $1.55 billion multiplied by [50%].  The fixed leg value will be [$775 million].  The multiplier is a negotiated rate and should be sufficient to cover swap obligations if the NW Natural transaction is not closed and another buyer has to be found (similar to a “haircut” or advance rate).  The fixed leg will be accelerated and paid at closing; the floating leg payment date will be the date of ultimate sale of the underlying Portland General equity.</w:t>
      </w:r>
    </w:p>
    <w:p>
      <w:pPr>
        <w:pStyle w:val="Normal"/>
        <w:ind w:hanging="1440" w:start="1440" w:end="0"/>
        <w:rPr/>
      </w:pPr>
      <w:r>
        <w:rPr/>
      </w:r>
    </w:p>
    <w:p>
      <w:pPr>
        <w:pStyle w:val="Normal"/>
        <w:ind w:start="1440" w:end="0"/>
        <w:rPr/>
      </w:pPr>
      <w:r>
        <w:rPr/>
        <w:t>The floating leg rate will be equal to [50%] of the total dividends received by Enron from Portland General.  The fixed leg rate will be set so that the swap will be valued at-the-money given (a) expected sale proceeds (b) the expected sale date and (c) the expected level of dividends (floating leg rate) (d) plus a rate that captures cost of funding the transaction, a secured lending spread, and tenor risk applicable to the FERC and OPUC approval process, and the ability of NW Natural to close the transaction if approval is granted and (e) less tax benefits accrued to the counterparties.  Enron’s distributions under the floating leg of the swap will be net of its fixed obligations, and will be distributed from the Trust account.</w:t>
      </w:r>
    </w:p>
    <w:p>
      <w:pPr>
        <w:pStyle w:val="Normal"/>
        <w:ind w:hanging="1440" w:start="1440" w:end="0"/>
        <w:rPr/>
      </w:pPr>
      <w:r>
        <w:rPr/>
      </w:r>
    </w:p>
    <w:p>
      <w:pPr>
        <w:pStyle w:val="Normal"/>
        <w:ind w:hanging="1440" w:start="1440" w:end="0"/>
        <w:rPr/>
      </w:pPr>
      <w:r>
        <w:rPr/>
        <w:tab/>
        <w:t>Enron will not receive collateral from the second Bank.  Enron will be the calculation agent for the floating leg of the swap.</w:t>
      </w:r>
    </w:p>
    <w:p>
      <w:pPr>
        <w:pStyle w:val="Normal"/>
        <w:ind w:hanging="1440" w:start="1440" w:end="0"/>
        <w:rPr/>
      </w:pPr>
      <w:r>
        <w:rPr/>
      </w:r>
    </w:p>
    <w:p>
      <w:pPr>
        <w:pStyle w:val="Normal"/>
        <w:ind w:hanging="1440" w:start="1440" w:end="0"/>
        <w:rPr/>
      </w:pPr>
      <w:r>
        <w:rPr/>
        <w:t>Cash and Accounting</w:t>
      </w:r>
    </w:p>
    <w:p>
      <w:pPr>
        <w:pStyle w:val="Normal"/>
        <w:ind w:hanging="1440" w:start="1440" w:end="0"/>
        <w:rPr/>
      </w:pPr>
      <w:r>
        <w:rPr/>
      </w:r>
    </w:p>
    <w:p>
      <w:pPr>
        <w:pStyle w:val="Normal"/>
        <w:ind w:hanging="1440" w:start="1440" w:end="0"/>
        <w:rPr/>
      </w:pPr>
      <w:r>
        <w:rPr/>
        <w:tab/>
        <w:t>Cash Effect</w:t>
      </w:r>
    </w:p>
    <w:p>
      <w:pPr>
        <w:pStyle w:val="Normal"/>
        <w:ind w:hanging="1440" w:start="1440" w:end="0"/>
        <w:jc w:val="center"/>
        <w:rPr/>
      </w:pPr>
      <w:bookmarkStart w:id="0" w:name="_1068356137"/>
      <w:bookmarkStart w:id="1" w:name="_1068356071"/>
      <w:bookmarkEnd w:id="0"/>
      <w:bookmarkEnd w:id="1"/>
      <w:r>
        <w:rPr/>
        <w:object w:dxaOrig="5863" w:dyaOrig="23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2.25pt;height:114.35pt" filled="f" o:ole="">
            <v:imagedata r:id="rId3" o:title=""/>
          </v:shape>
          <o:OLEObject Type="Embed" ProgID="Excel.Sheet.12" ShapeID="ole_rId2" DrawAspect="Content" ObjectID="_1354426217" r:id="rId2"/>
        </w:object>
      </w:r>
    </w:p>
    <w:p>
      <w:pPr>
        <w:pStyle w:val="Normal"/>
        <w:ind w:hanging="1440" w:start="1440" w:end="0"/>
        <w:rPr/>
      </w:pPr>
      <w:r>
        <w:rPr/>
      </w:r>
    </w:p>
    <w:p>
      <w:pPr>
        <w:pStyle w:val="Normal"/>
        <w:ind w:hanging="1440" w:start="1440" w:end="0"/>
        <w:rPr/>
      </w:pPr>
      <w:r>
        <w:rPr/>
        <w:tab/>
        <w:t>Accounting Effect</w:t>
      </w:r>
    </w:p>
    <w:p>
      <w:pPr>
        <w:pStyle w:val="Normal"/>
        <w:ind w:hanging="1440" w:start="1440" w:end="0"/>
        <w:rPr/>
      </w:pPr>
      <w:r>
        <w:rPr/>
      </w:r>
    </w:p>
    <w:p>
      <w:pPr>
        <w:pStyle w:val="Normal"/>
        <w:ind w:hanging="1440" w:start="1440" w:end="0"/>
        <w:rPr/>
      </w:pPr>
      <w:r>
        <w:rPr/>
        <w:tab/>
        <w:tab/>
        <w:t>Dr. Cash</w:t>
        <w:tab/>
        <w:tab/>
        <w:t>$775 million</w:t>
      </w:r>
    </w:p>
    <w:p>
      <w:pPr>
        <w:pStyle w:val="Normal"/>
        <w:ind w:hanging="1440" w:start="1440" w:end="0"/>
        <w:rPr/>
      </w:pPr>
      <w:r>
        <w:rPr/>
        <w:tab/>
        <w:tab/>
        <w:t>Dr. ST PRMA</w:t>
        <w:tab/>
        <w:tab/>
        <w:t>$775 million</w:t>
      </w:r>
    </w:p>
    <w:p>
      <w:pPr>
        <w:pStyle w:val="Normal"/>
        <w:ind w:hanging="1440" w:start="1440" w:end="0"/>
        <w:rPr/>
      </w:pPr>
      <w:r>
        <w:rPr/>
        <w:tab/>
        <w:tab/>
        <w:tab/>
        <w:t>Cr. ST PRML</w:t>
        <w:tab/>
        <w:tab/>
        <w:t>$1,550 million</w:t>
      </w:r>
    </w:p>
    <w:p>
      <w:pPr>
        <w:pStyle w:val="Normal"/>
        <w:ind w:hanging="1440" w:start="1440" w:end="0"/>
        <w:rPr/>
      </w:pPr>
      <w:r>
        <w:rPr/>
      </w:r>
    </w:p>
    <w:p>
      <w:pPr>
        <w:pStyle w:val="Normal"/>
        <w:ind w:hanging="1440" w:start="1440" w:end="0"/>
        <w:rPr/>
      </w:pPr>
      <w:r>
        <w:rPr/>
        <w:tab/>
        <w:t>Note: both swaps are booked as short-term price risk management assets and liabilities.  If the sale to NW Natural fails, and a new buyer is found at a lower price, the difference will be booked as a loss on Swap 1 and a gain on Swap 2, for no net cash or income effect.</w:t>
      </w:r>
    </w:p>
    <w:p>
      <w:pPr>
        <w:pStyle w:val="Normal"/>
        <w:ind w:hanging="1440" w:start="1440" w:end="0"/>
        <w:rPr/>
      </w:pPr>
      <w:r>
        <w:rPr/>
      </w:r>
    </w:p>
    <w:p>
      <w:pPr>
        <w:pStyle w:val="Normal"/>
        <w:ind w:hanging="1440" w:start="1440" w:end="0"/>
        <w:rPr/>
      </w:pPr>
      <w:r>
        <w:rPr/>
        <w:t>Tax</w:t>
        <w:tab/>
        <w:t>The Code generally requires derivative counterparties to use the accrual method for derivative transactions.  If this transaction is accounted for tax as a derivative transaction, Enron will have current tax-year income of $775 million and next tax-year expenses of $775 million.  The net rate payment will be accounted for as an operating expense, and will be deducted as if it were paid as interest.  Therefore, a temporary timing impact will be incurred if this is not treated as a financing for tax.  It is reasonable to characterize this transaction as a financing for tax, however, given the scale of Enron’s NOL and our status as an AMT payer, this timing impact is likely to have zero economic value.  The time value of the tax shield provided to the counterparty should be considered in reducing the fixed leg rate.</w:t>
      </w:r>
    </w:p>
    <w:p>
      <w:pPr>
        <w:pStyle w:val="Normal"/>
        <w:ind w:hanging="1440" w:start="1440" w:end="0"/>
        <w:rPr/>
      </w:pPr>
      <w:r>
        <w:rPr/>
      </w:r>
    </w:p>
    <w:p>
      <w:pPr>
        <w:pStyle w:val="Normal"/>
        <w:ind w:hanging="1440" w:start="1440" w:end="0"/>
        <w:rPr/>
      </w:pPr>
      <w:r>
        <w:rPr/>
        <w:t>Legal</w:t>
        <w:tab/>
        <w:t>The advantage of structuring this transaction as a pair derivative transactions is that it gives the secured party the right to invoke the temporary stay accorded to counterparties in forward contracts under the bankruptcy code.  However, there is no obligation; the counterparty might determine that it prefers to operate within the bankruptcy code, and use the bankruptcy court’s authority to sell Portland General out of the estate and to influence regulators to shorten the approval process.  In that situation, the lender would rely on the pledge of the equity and the PSA to recover proceeds due under Swap 1.</w:t>
        <w:br/>
        <w:br/>
        <w:t>There is some concern that equity swaps might not qualify as a “safe-harbor” contract under the bankruptcy code.  This is presently being investigated.  Prepaid legs of paired forward contracts have many precedents in Enron’s and other companies’ derivative books.</w:t>
      </w:r>
    </w:p>
    <w:p>
      <w:pPr>
        <w:pStyle w:val="Normal"/>
        <w:ind w:hanging="1440" w:start="1440" w:end="0"/>
        <w:rPr/>
      </w:pPr>
      <w:r>
        <w:rPr/>
      </w:r>
    </w:p>
    <w:p>
      <w:pPr>
        <w:pStyle w:val="Normal"/>
        <w:ind w:hanging="1440" w:start="1440" w:end="0"/>
        <w:rPr/>
      </w:pPr>
      <w:r>
        <w:rPr/>
        <w:t>Diagram</w:t>
        <w:tab/>
        <w:t>See attached.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1440" w:start="1440" w:end="0"/>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2001-11-20T12:29:00Z</dcterms:created>
  <dc:creator>dthames</dc:creator>
  <dc:description/>
  <dc:language>en-CA</dc:language>
  <cp:lastModifiedBy>dthames</cp:lastModifiedBy>
  <cp:lastPrinted>2001-11-26T12:34:00Z</cp:lastPrinted>
  <dcterms:modified xsi:type="dcterms:W3CDTF">2001-11-27T12:21:00Z</dcterms:modified>
  <cp:revision>7</cp:revision>
  <dc:subject/>
  <dc:title>Portland General Sale Proceeds Monetization</dc:title>
</cp:coreProperties>
</file>