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r>
    </w:p>
    <w:p>
      <w:pPr>
        <w:pStyle w:val="Heading"/>
        <w:rPr>
          <w:sz w:val="24"/>
        </w:rPr>
      </w:pPr>
      <w:r>
        <w:rPr>
          <w:sz w:val="24"/>
        </w:rPr>
        <w:t>Japan Political and Regulatory Roundup</w:t>
      </w:r>
    </w:p>
    <w:p>
      <w:pPr>
        <w:pStyle w:val="Normal"/>
        <w:jc w:val="end"/>
        <w:rPr>
          <w:sz w:val="20"/>
          <w:lang w:eastAsia="ja-JP"/>
        </w:rPr>
      </w:pPr>
      <w:r>
        <w:rPr>
          <w:sz w:val="20"/>
          <w:lang w:eastAsia="ja-JP"/>
        </w:rPr>
      </w:r>
    </w:p>
    <w:p>
      <w:pPr>
        <w:pStyle w:val="Normal"/>
        <w:ind w:hanging="720" w:start="720" w:end="0"/>
        <w:jc w:val="end"/>
        <w:rPr>
          <w:sz w:val="20"/>
          <w:lang w:eastAsia="ja-JP"/>
        </w:rPr>
      </w:pPr>
      <w:r>
        <w:rPr>
          <w:sz w:val="20"/>
          <w:lang w:eastAsia="ja-JP"/>
        </w:rPr>
        <w:t>October 24, 2001</w:t>
      </w:r>
    </w:p>
    <w:p>
      <w:pPr>
        <w:pStyle w:val="Normal"/>
        <w:rPr>
          <w:b/>
          <w:bCs/>
          <w:sz w:val="20"/>
          <w:lang w:eastAsia="ja-JP"/>
        </w:rPr>
      </w:pPr>
      <w:r>
        <w:rPr>
          <w:b/>
          <w:bCs/>
          <w:sz w:val="20"/>
          <w:lang w:eastAsia="ja-JP"/>
        </w:rPr>
      </w:r>
    </w:p>
    <w:p>
      <w:pPr>
        <w:pStyle w:val="Normal"/>
        <w:rPr>
          <w:b/>
          <w:bCs/>
          <w:lang w:eastAsia="ja-JP"/>
        </w:rPr>
      </w:pPr>
      <w:r>
        <w:rPr>
          <w:b/>
          <w:bCs/>
          <w:lang w:eastAsia="ja-JP"/>
        </w:rPr>
      </w:r>
    </w:p>
    <w:p>
      <w:pPr>
        <w:pStyle w:val="Normal"/>
        <w:rPr>
          <w:b/>
          <w:bCs/>
          <w:lang w:val="en-US" w:eastAsia="en-CA"/>
        </w:rPr>
      </w:pPr>
      <w:r>
        <w:rPr>
          <w:b/>
          <w:bCs/>
          <w:lang w:val="en-US" w:eastAsia="en-CA"/>
        </w:rP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28575</wp:posOffset>
                </wp:positionV>
                <wp:extent cx="5486400" cy="1750695"/>
                <wp:effectExtent l="5080" t="5715" r="5715" b="5080"/>
                <wp:wrapNone/>
                <wp:docPr id="1" name=""/>
                <a:graphic xmlns:a="http://schemas.openxmlformats.org/drawingml/2006/main">
                  <a:graphicData uri="http://schemas.microsoft.com/office/word/2010/wordprocessingShape">
                    <wps:wsp>
                      <wps:cNvSpPr/>
                      <wps:spPr>
                        <a:xfrm>
                          <a:off x="0" y="0"/>
                          <a:ext cx="5486400" cy="1750680"/>
                        </a:xfrm>
                        <a:prstGeom prst="roundRect">
                          <a:avLst>
                            <a:gd name="adj" fmla="val 16667"/>
                          </a:avLst>
                        </a:prstGeom>
                        <a:solidFill>
                          <a:srgbClr val="dddddd"/>
                        </a:solidFill>
                        <a:ln w="9360">
                          <a:solidFill>
                            <a:srgbClr val="000000"/>
                          </a:solidFill>
                          <a:miter/>
                        </a:ln>
                      </wps:spPr>
                      <wps:style>
                        <a:lnRef idx="0"/>
                        <a:fillRef idx="0"/>
                        <a:effectRef idx="0"/>
                        <a:fontRef idx="minor"/>
                      </wps:style>
                      <wps:bodyPr/>
                    </wps:wsp>
                  </a:graphicData>
                </a:graphic>
              </wp:anchor>
            </w:drawing>
          </mc:Choice>
          <mc:Fallback>
            <w:pict>
              <v:roundrect id="shape_0" fillcolor="#dddddd" stroked="t" o:allowincell="f" style="position:absolute;margin-left:0pt;margin-top:2.25pt;width:431.95pt;height:137.8pt;mso-wrap-style:none;v-text-anchor:middle">
                <v:fill o:detectmouseclick="t" type="solid" color2="#222222"/>
                <v:stroke color="black" weight="9360" joinstyle="miter" endcap="flat"/>
                <w10:wrap type="none"/>
              </v:roundrect>
            </w:pict>
          </mc:Fallback>
        </mc:AlternateContent>
      </w:r>
    </w:p>
    <w:p>
      <w:pPr>
        <w:pStyle w:val="Heading1"/>
        <w:ind w:hanging="0" w:start="0"/>
        <w:rPr/>
      </w:pPr>
      <w:r>
        <w:rPr/>
        <w:t>Summary</w:t>
      </w:r>
    </w:p>
    <w:p>
      <w:pPr>
        <w:pStyle w:val="Normal"/>
        <w:jc w:val="center"/>
        <w:rPr>
          <w:lang w:eastAsia="ja-JP"/>
        </w:rPr>
      </w:pPr>
      <w:r>
        <w:rPr>
          <w:lang w:eastAsia="ja-JP"/>
        </w:rPr>
      </w:r>
    </w:p>
    <w:p>
      <w:pPr>
        <w:pStyle w:val="Normal"/>
        <w:numPr>
          <w:ilvl w:val="0"/>
          <w:numId w:val="4"/>
        </w:numPr>
        <w:tabs>
          <w:tab w:val="clear" w:pos="720"/>
          <w:tab w:val="left" w:pos="960" w:leader="none"/>
        </w:tabs>
        <w:ind w:hanging="360" w:start="960" w:end="0"/>
        <w:rPr>
          <w:b/>
          <w:bCs/>
          <w:lang w:eastAsia="ja-JP"/>
        </w:rPr>
      </w:pPr>
      <w:r>
        <w:rPr>
          <w:b/>
          <w:bCs/>
          <w:lang w:eastAsia="ja-JP"/>
        </w:rPr>
        <w:t xml:space="preserve">Anti-terrorist bill consumes parliamentary session. Supplementary budget issues next on agenda. </w:t>
      </w:r>
    </w:p>
    <w:p>
      <w:pPr>
        <w:pStyle w:val="Normal"/>
        <w:tabs>
          <w:tab w:val="clear" w:pos="720"/>
          <w:tab w:val="left" w:pos="960" w:leader="none"/>
        </w:tabs>
        <w:ind w:start="600" w:end="0"/>
        <w:rPr>
          <w:b/>
          <w:bCs/>
          <w:lang w:eastAsia="ja-JP"/>
        </w:rPr>
      </w:pPr>
      <w:r>
        <w:rPr>
          <w:b/>
          <w:bCs/>
          <w:lang w:eastAsia="ja-JP"/>
        </w:rPr>
      </w:r>
    </w:p>
    <w:p>
      <w:pPr>
        <w:pStyle w:val="Normal"/>
        <w:numPr>
          <w:ilvl w:val="0"/>
          <w:numId w:val="4"/>
        </w:numPr>
        <w:tabs>
          <w:tab w:val="clear" w:pos="720"/>
          <w:tab w:val="left" w:pos="960" w:leader="none"/>
        </w:tabs>
        <w:ind w:hanging="360" w:start="960" w:end="0"/>
        <w:rPr>
          <w:b/>
          <w:bCs/>
          <w:lang w:eastAsia="ja-JP"/>
        </w:rPr>
      </w:pPr>
      <w:r>
        <w:rPr>
          <w:b/>
          <w:bCs/>
          <w:lang w:eastAsia="ja-JP"/>
        </w:rPr>
        <w:t xml:space="preserve">Energy Deregulation </w:t>
      </w:r>
    </w:p>
    <w:p>
      <w:pPr>
        <w:pStyle w:val="Normal"/>
        <w:numPr>
          <w:ilvl w:val="2"/>
          <w:numId w:val="3"/>
        </w:numPr>
        <w:rPr>
          <w:b/>
          <w:bCs/>
          <w:sz w:val="20"/>
          <w:lang w:eastAsia="ja-JP"/>
        </w:rPr>
      </w:pPr>
      <w:r>
        <w:rPr>
          <w:b/>
          <w:bCs/>
          <w:sz w:val="20"/>
          <w:lang w:eastAsia="ja-JP"/>
        </w:rPr>
        <w:t>Electricity Reform Committee to start deliberations November 5</w:t>
      </w:r>
    </w:p>
    <w:p>
      <w:pPr>
        <w:pStyle w:val="Normal"/>
        <w:numPr>
          <w:ilvl w:val="2"/>
          <w:numId w:val="3"/>
        </w:numPr>
        <w:rPr>
          <w:b/>
          <w:bCs/>
          <w:lang w:eastAsia="ja-JP"/>
        </w:rPr>
      </w:pPr>
      <w:r>
        <w:rPr>
          <w:b/>
          <w:bCs/>
          <w:sz w:val="20"/>
          <w:lang w:eastAsia="ja-JP"/>
        </w:rPr>
        <w:t>Environment Ministry opens committee to discuss merits of carbon tax</w:t>
      </w:r>
    </w:p>
    <w:p>
      <w:pPr>
        <w:pStyle w:val="Normal"/>
        <w:tabs>
          <w:tab w:val="clear" w:pos="720"/>
          <w:tab w:val="left" w:pos="960" w:leader="none"/>
        </w:tabs>
        <w:rPr>
          <w:b/>
          <w:bCs/>
          <w:lang w:eastAsia="ja-JP"/>
        </w:rPr>
      </w:pPr>
      <w:r>
        <w:rPr>
          <w:b/>
          <w:bCs/>
          <w:lang w:eastAsia="ja-JP"/>
        </w:rPr>
      </w:r>
    </w:p>
    <w:p>
      <w:pPr>
        <w:pStyle w:val="Normal"/>
        <w:tabs>
          <w:tab w:val="clear" w:pos="720"/>
          <w:tab w:val="left" w:pos="960" w:leader="none"/>
        </w:tabs>
        <w:rPr>
          <w:lang w:eastAsia="ja-JP"/>
        </w:rPr>
      </w:pPr>
      <w:r>
        <w:rPr>
          <w:lang w:eastAsia="ja-JP"/>
        </w:rPr>
      </w:r>
    </w:p>
    <w:p>
      <w:pPr>
        <w:pStyle w:val="Normal"/>
        <w:rPr>
          <w:lang w:eastAsia="ja-JP"/>
        </w:rPr>
      </w:pPr>
      <w:r>
        <w:rPr>
          <w:lang w:eastAsia="ja-JP"/>
        </w:rPr>
      </w:r>
    </w:p>
    <w:p>
      <w:pPr>
        <w:pStyle w:val="BodyText3"/>
        <w:tabs>
          <w:tab w:val="left" w:pos="720" w:leader="none"/>
        </w:tabs>
        <w:ind w:hanging="720" w:start="720" w:end="0"/>
        <w:jc w:val="both"/>
        <w:rPr/>
      </w:pPr>
      <w:r>
        <w:rPr/>
        <w:t xml:space="preserve">Note: </w:t>
        <w:tab/>
        <w:t>From this issue of the newsletter, regulatory developments in energy policy will be covered in addition to national political issues.</w:t>
      </w:r>
    </w:p>
    <w:p>
      <w:pPr>
        <w:pStyle w:val="Normal"/>
        <w:rPr>
          <w:lang w:eastAsia="ja-JP"/>
        </w:rPr>
      </w:pPr>
      <w:r>
        <w:rPr>
          <w:lang w:eastAsia="ja-JP"/>
        </w:rPr>
      </w:r>
    </w:p>
    <w:p>
      <w:pPr>
        <w:pStyle w:val="BodyText3"/>
        <w:numPr>
          <w:ilvl w:val="0"/>
          <w:numId w:val="2"/>
        </w:numPr>
        <w:rPr/>
      </w:pPr>
      <w:r>
        <w:rPr/>
        <w:t>Anti-terrorist bill consumes parliamentary session. Supplementary budget to be discussed</w:t>
      </w:r>
    </w:p>
    <w:p>
      <w:pPr>
        <w:pStyle w:val="Normal"/>
        <w:rPr>
          <w:lang w:eastAsia="ja-JP"/>
        </w:rPr>
      </w:pPr>
      <w:r>
        <w:rPr>
          <w:lang w:eastAsia="ja-JP"/>
        </w:rPr>
      </w:r>
    </w:p>
    <w:p>
      <w:pPr>
        <w:pStyle w:val="Normal"/>
        <w:numPr>
          <w:ilvl w:val="0"/>
          <w:numId w:val="4"/>
        </w:numPr>
        <w:jc w:val="both"/>
        <w:rPr>
          <w:lang w:eastAsia="ja-JP"/>
        </w:rPr>
      </w:pPr>
      <w:r>
        <w:rPr>
          <w:lang w:eastAsia="ja-JP"/>
        </w:rPr>
        <w:t>The current parliamentary session, which commenced September 27 for a 72 day period, has been primarily concerned by deliberation on the anti-terrorist bills. The bills passed through the lower house on October 18, and are expected to be passed into law on October 26.</w:t>
      </w:r>
    </w:p>
    <w:p>
      <w:pPr>
        <w:pStyle w:val="Normal"/>
        <w:ind w:start="360" w:end="0"/>
        <w:rPr>
          <w:lang w:eastAsia="ja-JP"/>
        </w:rPr>
      </w:pPr>
      <w:r>
        <w:rPr>
          <w:lang w:eastAsia="ja-JP"/>
        </w:rPr>
      </w:r>
    </w:p>
    <w:p>
      <w:pPr>
        <w:pStyle w:val="Normal"/>
        <w:numPr>
          <w:ilvl w:val="0"/>
          <w:numId w:val="4"/>
        </w:numPr>
        <w:jc w:val="both"/>
        <w:rPr>
          <w:lang w:eastAsia="ja-JP"/>
        </w:rPr>
      </w:pPr>
      <w:r>
        <w:rPr>
          <w:lang w:eastAsia="ja-JP"/>
        </w:rPr>
        <w:t xml:space="preserve">Parliamentary deliberations on the national security-related bills have had significant implications for the Koizumi leadership </w:t>
      </w:r>
      <w:r>
        <w:rPr>
          <w:lang w:eastAsia="ja-JP"/>
        </w:rPr>
        <w:t>and</w:t>
      </w:r>
      <w:r>
        <w:rPr>
          <w:lang w:eastAsia="ja-JP"/>
        </w:rPr>
        <w:t xml:space="preserve"> the broader political landscape:</w:t>
      </w:r>
    </w:p>
    <w:p>
      <w:pPr>
        <w:pStyle w:val="Normal"/>
        <w:jc w:val="both"/>
        <w:rPr>
          <w:lang w:eastAsia="ja-JP"/>
        </w:rPr>
      </w:pPr>
      <w:r>
        <w:rPr>
          <w:lang w:eastAsia="ja-JP"/>
        </w:rPr>
      </w:r>
    </w:p>
    <w:p>
      <w:pPr>
        <w:pStyle w:val="Normal"/>
        <w:numPr>
          <w:ilvl w:val="2"/>
          <w:numId w:val="6"/>
        </w:numPr>
        <w:tabs>
          <w:tab w:val="clear" w:pos="720"/>
        </w:tabs>
        <w:ind w:hanging="240" w:start="1440" w:end="0"/>
        <w:jc w:val="both"/>
        <w:rPr>
          <w:lang w:eastAsia="ja-JP"/>
        </w:rPr>
      </w:pPr>
      <w:r>
        <w:rPr>
          <w:lang w:eastAsia="ja-JP"/>
        </w:rPr>
        <w:t>Koizumi Cabinet public support levels have firmed despite the controversy of sending Japanese forces overseas, and remain at unprecedented levels</w:t>
      </w:r>
      <w:r>
        <w:rPr>
          <w:rStyle w:val="FootnoteCharacters"/>
          <w:rStyle w:val="FootnoteReference"/>
          <w:lang w:eastAsia="ja-JP"/>
        </w:rPr>
        <w:footnoteReference w:id="2"/>
      </w:r>
    </w:p>
    <w:p>
      <w:pPr>
        <w:pStyle w:val="Normal"/>
        <w:numPr>
          <w:ilvl w:val="2"/>
          <w:numId w:val="6"/>
        </w:numPr>
        <w:tabs>
          <w:tab w:val="clear" w:pos="720"/>
        </w:tabs>
        <w:ind w:hanging="240" w:start="1440" w:end="0"/>
        <w:jc w:val="both"/>
        <w:rPr>
          <w:lang w:eastAsia="ja-JP"/>
        </w:rPr>
      </w:pPr>
      <w:r>
        <w:rPr>
          <w:lang w:eastAsia="ja-JP"/>
        </w:rPr>
        <w:t>A rift over security policy has opened within the major opposition Democratic Party, with up to fifty members of the party</w:t>
      </w:r>
      <w:r>
        <w:rPr>
          <w:rStyle w:val="FootnoteCharacters"/>
          <w:rStyle w:val="FootnoteReference"/>
          <w:lang w:eastAsia="ja-JP"/>
        </w:rPr>
        <w:footnoteReference w:id="3"/>
      </w:r>
      <w:r>
        <w:rPr>
          <w:lang w:eastAsia="ja-JP"/>
        </w:rPr>
        <w:t xml:space="preserve"> </w:t>
      </w:r>
      <w:r>
        <w:rPr>
          <w:lang w:eastAsia="ja-JP"/>
        </w:rPr>
        <w:t>announcing</w:t>
      </w:r>
      <w:r>
        <w:rPr>
          <w:lang w:eastAsia="ja-JP"/>
        </w:rPr>
        <w:t xml:space="preserve"> the formation of a policy body within the Democrats, often a sign in Japan of coming intra-party turbulence </w:t>
      </w:r>
    </w:p>
    <w:p>
      <w:pPr>
        <w:pStyle w:val="Normal"/>
        <w:numPr>
          <w:ilvl w:val="2"/>
          <w:numId w:val="6"/>
        </w:numPr>
        <w:tabs>
          <w:tab w:val="clear" w:pos="720"/>
        </w:tabs>
        <w:ind w:hanging="240" w:start="1440" w:end="0"/>
        <w:jc w:val="both"/>
        <w:rPr>
          <w:lang w:eastAsia="ja-JP"/>
        </w:rPr>
      </w:pPr>
      <w:r>
        <w:rPr>
          <w:lang w:eastAsia="ja-JP"/>
        </w:rPr>
        <w:t xml:space="preserve">Disagreement between the LDP and Democrats has driven a wedge between Prime Minister Koizumi and the opposition leadership. Rumours have repeatedly surfaced concerning the possibility of PM Koizumi joining hands with the opposition parties and bringing down the ruling coalition if it refuses to implement his reform agenda. The chances of this </w:t>
      </w:r>
      <w:r>
        <w:rPr>
          <w:lang w:eastAsia="ja-JP"/>
        </w:rPr>
        <w:t>occurring</w:t>
      </w:r>
      <w:r>
        <w:rPr>
          <w:lang w:eastAsia="ja-JP"/>
        </w:rPr>
        <w:t xml:space="preserve"> have been significantly reduced by recent events</w:t>
      </w:r>
    </w:p>
    <w:p>
      <w:pPr>
        <w:pStyle w:val="Normal"/>
        <w:jc w:val="both"/>
        <w:rPr>
          <w:lang w:eastAsia="ja-JP"/>
        </w:rPr>
      </w:pPr>
      <w:r>
        <w:rPr>
          <w:lang w:eastAsia="ja-JP"/>
        </w:rPr>
      </w:r>
    </w:p>
    <w:p>
      <w:pPr>
        <w:pStyle w:val="Normal"/>
        <w:numPr>
          <w:ilvl w:val="0"/>
          <w:numId w:val="4"/>
        </w:numPr>
        <w:jc w:val="both"/>
        <w:rPr>
          <w:lang w:eastAsia="ja-JP"/>
        </w:rPr>
      </w:pPr>
      <w:r>
        <w:rPr>
          <w:lang w:eastAsia="ja-JP"/>
        </w:rPr>
        <w:t>Partially as a result of the economic fallout of the September 11 attack, the government has stated it will take a more flexible approach towards fiscal policy for FY2001</w:t>
      </w:r>
      <w:r>
        <w:rPr>
          <w:rStyle w:val="FootnoteCharacters"/>
          <w:rStyle w:val="FootnoteReference"/>
          <w:lang w:eastAsia="ja-JP"/>
        </w:rPr>
        <w:footnoteReference w:id="4"/>
      </w:r>
      <w:r>
        <w:rPr>
          <w:lang w:eastAsia="ja-JP"/>
        </w:rPr>
        <w:t xml:space="preserve">, announcing the implementation of a supplementary stimulus budget. The budget will be </w:t>
      </w:r>
      <w:r>
        <w:rPr>
          <w:lang w:eastAsia="ja-JP"/>
        </w:rPr>
        <w:t>during the current parliamentary session, with a focus on job creation.</w:t>
      </w:r>
      <w:r>
        <w:rPr>
          <w:lang w:eastAsia="ja-JP"/>
        </w:rPr>
        <w:t xml:space="preserve"> </w:t>
      </w:r>
    </w:p>
    <w:p>
      <w:pPr>
        <w:pStyle w:val="Normal"/>
        <w:ind w:start="360" w:end="0"/>
        <w:jc w:val="both"/>
        <w:rPr>
          <w:lang w:eastAsia="ja-JP"/>
        </w:rPr>
      </w:pPr>
      <w:r>
        <w:rPr>
          <w:lang w:eastAsia="ja-JP"/>
        </w:rPr>
      </w:r>
    </w:p>
    <w:p>
      <w:pPr>
        <w:pStyle w:val="Normal"/>
        <w:numPr>
          <w:ilvl w:val="0"/>
          <w:numId w:val="4"/>
        </w:numPr>
        <w:jc w:val="both"/>
        <w:rPr>
          <w:lang w:eastAsia="ja-JP"/>
        </w:rPr>
      </w:pPr>
      <w:r>
        <w:rPr>
          <w:lang w:eastAsia="ja-JP"/>
        </w:rPr>
        <w:t>Initial expenditures total 3 trillion yen, however a second supplementary budget is likely which would result in the government exceeding its self-imposed thirty trillion yen ceiling placed on FY2001 JGB issuance.</w:t>
      </w:r>
    </w:p>
    <w:p>
      <w:pPr>
        <w:pStyle w:val="BodyTextIndent3"/>
        <w:ind w:start="0" w:end="0"/>
        <w:rPr>
          <w:lang w:eastAsia="ja-JP"/>
        </w:rPr>
      </w:pPr>
      <w:r>
        <w:rPr>
          <w:lang w:eastAsia="ja-JP"/>
        </w:rPr>
      </w:r>
    </w:p>
    <w:p>
      <w:pPr>
        <w:pStyle w:val="BodyTextIndent3"/>
        <w:numPr>
          <w:ilvl w:val="0"/>
          <w:numId w:val="2"/>
        </w:numPr>
        <w:rPr/>
      </w:pPr>
      <w:r>
        <w:rPr/>
        <w:t>Energy Deregulation</w:t>
      </w:r>
    </w:p>
    <w:p>
      <w:pPr>
        <w:pStyle w:val="BodyTextIndent3"/>
        <w:ind w:start="0" w:end="0"/>
        <w:rPr/>
      </w:pPr>
      <w:r>
        <w:rPr/>
      </w:r>
    </w:p>
    <w:p>
      <w:pPr>
        <w:pStyle w:val="BodyTextIndent3"/>
        <w:numPr>
          <w:ilvl w:val="0"/>
          <w:numId w:val="5"/>
        </w:numPr>
        <w:rPr/>
      </w:pPr>
      <w:r>
        <w:rPr/>
        <w:t>The Ministry of Economy, Trade and Industry (METI), the ministry which oversees energy policy, has announced that a new round of discussion into electricity deregulation will begin on November 5</w:t>
      </w:r>
      <w:r>
        <w:rPr>
          <w:vertAlign w:val="superscript"/>
        </w:rPr>
        <w:t>th</w:t>
      </w:r>
    </w:p>
    <w:p>
      <w:pPr>
        <w:pStyle w:val="BodyTextIndent3"/>
        <w:ind w:start="0" w:end="0"/>
        <w:rPr>
          <w:b w:val="false"/>
          <w:bCs w:val="false"/>
        </w:rPr>
      </w:pPr>
      <w:r>
        <w:rPr>
          <w:b w:val="false"/>
          <w:bCs w:val="false"/>
        </w:rPr>
      </w:r>
    </w:p>
    <w:p>
      <w:pPr>
        <w:pStyle w:val="BodyTextIndent3"/>
        <w:numPr>
          <w:ilvl w:val="0"/>
          <w:numId w:val="4"/>
        </w:numPr>
        <w:rPr>
          <w:b w:val="false"/>
          <w:bCs w:val="false"/>
        </w:rPr>
      </w:pPr>
      <w:r>
        <w:rPr>
          <w:b w:val="false"/>
          <w:bCs w:val="false"/>
        </w:rPr>
        <w:t>The committee is charged with examining the current market structure and state of competition, making recommendations for changes.</w:t>
      </w:r>
    </w:p>
    <w:p>
      <w:pPr>
        <w:pStyle w:val="BodyTextIndent3"/>
        <w:rPr>
          <w:b w:val="false"/>
          <w:bCs w:val="false"/>
        </w:rPr>
      </w:pPr>
      <w:r>
        <w:rPr>
          <w:b w:val="false"/>
          <w:bCs w:val="false"/>
        </w:rPr>
      </w:r>
    </w:p>
    <w:p>
      <w:pPr>
        <w:pStyle w:val="BodyTextIndent3"/>
        <w:numPr>
          <w:ilvl w:val="0"/>
          <w:numId w:val="4"/>
        </w:numPr>
        <w:rPr/>
      </w:pPr>
      <w:r>
        <w:rPr>
          <w:b w:val="false"/>
          <w:bCs w:val="false"/>
        </w:rPr>
        <w:t>The committee will carry out hearings with major market participants, including Enron Japan, and is expected to develop a broad outline for the new market structure by mid-2002.</w:t>
      </w:r>
    </w:p>
    <w:p>
      <w:pPr>
        <w:pStyle w:val="BodyTextIndent3"/>
        <w:ind w:start="0" w:end="0"/>
        <w:rPr/>
      </w:pPr>
      <w:r>
        <w:rPr/>
      </w:r>
    </w:p>
    <w:p>
      <w:pPr>
        <w:pStyle w:val="BodyTextIndent3"/>
        <w:numPr>
          <w:ilvl w:val="0"/>
          <w:numId w:val="4"/>
        </w:numPr>
        <w:rPr>
          <w:b w:val="false"/>
          <w:bCs w:val="false"/>
        </w:rPr>
      </w:pPr>
      <w:r>
        <w:rPr>
          <w:b w:val="false"/>
          <w:bCs w:val="false"/>
        </w:rPr>
        <w:t xml:space="preserve">See </w:t>
      </w:r>
      <w:hyperlink w:anchor="Appendix">
        <w:r>
          <w:rPr>
            <w:rStyle w:val="Hyperlink"/>
            <w:b/>
            <w:bCs/>
          </w:rPr>
          <w:t>appendix</w:t>
        </w:r>
      </w:hyperlink>
      <w:r>
        <w:rPr>
          <w:b w:val="false"/>
          <w:bCs w:val="false"/>
        </w:rPr>
        <w:t xml:space="preserve"> for a list of committee members</w:t>
      </w:r>
    </w:p>
    <w:p>
      <w:pPr>
        <w:pStyle w:val="BodyTextIndent3"/>
        <w:ind w:start="0" w:end="0"/>
        <w:rPr>
          <w:b w:val="false"/>
          <w:bCs w:val="false"/>
        </w:rPr>
      </w:pPr>
      <w:r>
        <w:rPr>
          <w:b w:val="false"/>
          <w:bCs w:val="false"/>
        </w:rPr>
      </w:r>
    </w:p>
    <w:p>
      <w:pPr>
        <w:pStyle w:val="BodyTextIndent3"/>
        <w:ind w:start="0" w:end="0"/>
        <w:rPr/>
      </w:pPr>
      <w:r>
        <w:rPr/>
      </w:r>
    </w:p>
    <w:p>
      <w:pPr>
        <w:pStyle w:val="BodyTextIndent3"/>
        <w:numPr>
          <w:ilvl w:val="0"/>
          <w:numId w:val="7"/>
        </w:numPr>
        <w:tabs>
          <w:tab w:val="clear" w:pos="720"/>
        </w:tabs>
        <w:rPr/>
      </w:pPr>
      <w:r>
        <w:rPr/>
        <w:t>Environment Ministry opens committee to discuss introduction of  environmental tax</w:t>
      </w:r>
    </w:p>
    <w:p>
      <w:pPr>
        <w:pStyle w:val="Normal"/>
        <w:jc w:val="both"/>
        <w:rPr>
          <w:lang w:eastAsia="ja-JP"/>
        </w:rPr>
      </w:pPr>
      <w:r>
        <w:rPr>
          <w:lang w:eastAsia="ja-JP"/>
        </w:rPr>
      </w:r>
    </w:p>
    <w:p>
      <w:pPr>
        <w:pStyle w:val="Normal"/>
        <w:numPr>
          <w:ilvl w:val="0"/>
          <w:numId w:val="4"/>
        </w:numPr>
        <w:jc w:val="both"/>
        <w:rPr>
          <w:lang w:eastAsia="ja-JP"/>
        </w:rPr>
      </w:pPr>
      <w:r>
        <w:rPr>
          <w:lang w:eastAsia="ja-JP"/>
        </w:rPr>
        <w:t>The Environment Ministry began examining the merits of a carbon tax through opening a specialist committee to consider the issue on October 17. The Global Warming and Tax Policy Committee, established under the Central Environment Committee</w:t>
      </w:r>
      <w:r>
        <w:rPr>
          <w:rStyle w:val="FootnoteCharacters"/>
          <w:rStyle w:val="FootnoteReference"/>
          <w:lang w:eastAsia="ja-JP"/>
        </w:rPr>
        <w:footnoteReference w:id="5"/>
      </w:r>
      <w:r>
        <w:rPr>
          <w:lang w:eastAsia="ja-JP"/>
        </w:rPr>
        <w:t>, will meet six times before submitting a final report by the end of 2001, including holding hearings with industry groups, consumer groups, NGOs and union bodies.</w:t>
      </w:r>
    </w:p>
    <w:p>
      <w:pPr>
        <w:pStyle w:val="Normal"/>
        <w:ind w:start="360" w:end="0"/>
        <w:jc w:val="both"/>
        <w:rPr>
          <w:lang w:eastAsia="ja-JP"/>
        </w:rPr>
      </w:pPr>
      <w:r>
        <w:rPr>
          <w:lang w:eastAsia="ja-JP"/>
        </w:rPr>
      </w:r>
    </w:p>
    <w:p>
      <w:pPr>
        <w:pStyle w:val="Normal"/>
        <w:numPr>
          <w:ilvl w:val="0"/>
          <w:numId w:val="4"/>
        </w:numPr>
        <w:jc w:val="both"/>
        <w:rPr>
          <w:lang w:eastAsia="ja-JP"/>
        </w:rPr>
      </w:pPr>
      <w:r>
        <w:rPr/>
        <w:t xml:space="preserve">The move comes as part of efforts by the government to establish a domestic legislative framework allowing Japan to achieve its target under the Kyoto Protocol. Japan is committed to reducing CO2 emissions by 6% from 1990 levels under the protocol, but will not achieve this </w:t>
      </w:r>
      <w:r>
        <w:rPr/>
        <w:t>without</w:t>
      </w:r>
      <w:r>
        <w:rPr/>
        <w:t xml:space="preserve"> additional measures.</w:t>
      </w:r>
      <w:r>
        <w:rPr>
          <w:lang w:eastAsia="ja-JP"/>
        </w:rPr>
        <w:t xml:space="preserve"> </w:t>
      </w:r>
    </w:p>
    <w:p>
      <w:pPr>
        <w:pStyle w:val="Normal"/>
        <w:jc w:val="both"/>
        <w:rPr>
          <w:lang w:eastAsia="ja-JP"/>
        </w:rPr>
      </w:pPr>
      <w:r>
        <w:rPr>
          <w:lang w:eastAsia="ja-JP"/>
        </w:rPr>
      </w:r>
    </w:p>
    <w:p>
      <w:pPr>
        <w:pStyle w:val="Normal"/>
        <w:numPr>
          <w:ilvl w:val="0"/>
          <w:numId w:val="4"/>
        </w:numPr>
        <w:tabs>
          <w:tab w:val="clear" w:pos="720"/>
        </w:tabs>
        <w:jc w:val="both"/>
        <w:rPr>
          <w:lang w:eastAsia="ja-JP"/>
        </w:rPr>
      </w:pPr>
      <w:r>
        <w:rPr>
          <w:lang w:eastAsia="ja-JP"/>
        </w:rPr>
        <w:t>Significant differences remain in the position of different government departments, with the Environment Ministry advocating the introduction of a carbon tax in some format, and METI and Keidanren</w:t>
      </w:r>
      <w:r>
        <w:rPr>
          <w:rStyle w:val="FootnoteCharacters"/>
          <w:rStyle w:val="FootnoteReference"/>
          <w:lang w:eastAsia="ja-JP"/>
        </w:rPr>
        <w:footnoteReference w:id="6"/>
      </w:r>
      <w:r>
        <w:rPr>
          <w:lang w:eastAsia="ja-JP"/>
        </w:rPr>
        <w:t xml:space="preserve"> remaining sceptical.</w:t>
      </w:r>
    </w:p>
    <w:p>
      <w:pPr>
        <w:pStyle w:val="Normal"/>
        <w:jc w:val="both"/>
        <w:rPr>
          <w:lang w:eastAsia="ja-JP"/>
        </w:rPr>
      </w:pPr>
      <w:r>
        <w:rPr>
          <w:lang w:eastAsia="ja-JP"/>
        </w:rPr>
      </w:r>
    </w:p>
    <w:p>
      <w:pPr>
        <w:pStyle w:val="Normal"/>
        <w:numPr>
          <w:ilvl w:val="0"/>
          <w:numId w:val="4"/>
        </w:numPr>
        <w:tabs>
          <w:tab w:val="clear" w:pos="720"/>
          <w:tab w:val="left" w:pos="2160" w:leader="none"/>
        </w:tabs>
        <w:jc w:val="both"/>
        <w:rPr>
          <w:lang w:eastAsia="ja-JP"/>
        </w:rPr>
      </w:pPr>
      <w:r>
        <w:rPr>
          <w:lang w:eastAsia="ja-JP"/>
        </w:rPr>
        <w:t xml:space="preserve">A previous Environment Ministry Committee charged with carrying out preliminary analysis into the issue concluded the best policy mix for achieving emissions targets while minimizing adverse economic effects </w:t>
      </w:r>
      <w:r>
        <w:rPr>
          <w:lang w:eastAsia="ja-JP"/>
        </w:rPr>
        <w:t>included</w:t>
      </w:r>
      <w:r>
        <w:rPr>
          <w:lang w:eastAsia="ja-JP"/>
        </w:rPr>
        <w:t xml:space="preserve"> the following:</w:t>
      </w:r>
    </w:p>
    <w:p>
      <w:pPr>
        <w:pStyle w:val="Normal"/>
        <w:tabs>
          <w:tab w:val="clear" w:pos="720"/>
          <w:tab w:val="left" w:pos="2160" w:leader="none"/>
        </w:tabs>
        <w:ind w:start="1800" w:end="0"/>
        <w:jc w:val="both"/>
        <w:rPr/>
      </w:pPr>
      <w:r>
        <w:rPr>
          <w:lang w:eastAsia="ja-JP"/>
        </w:rPr>
        <w:tab/>
        <w:t>- limited carbon tax</w:t>
      </w:r>
      <w:r>
        <w:rPr>
          <w:rStyle w:val="FootnoteCharacters"/>
          <w:rStyle w:val="FootnoteReference"/>
          <w:lang w:eastAsia="ja-JP"/>
        </w:rPr>
        <w:footnoteReference w:id="7"/>
      </w:r>
      <w:r>
        <w:rPr>
          <w:lang w:eastAsia="ja-JP"/>
        </w:rPr>
        <w:t xml:space="preserve"> </w:t>
      </w:r>
    </w:p>
    <w:p>
      <w:pPr>
        <w:pStyle w:val="Normal"/>
        <w:tabs>
          <w:tab w:val="clear" w:pos="720"/>
          <w:tab w:val="left" w:pos="2160" w:leader="none"/>
        </w:tabs>
        <w:ind w:start="360" w:end="0"/>
        <w:jc w:val="both"/>
        <w:rPr>
          <w:lang w:eastAsia="ja-JP"/>
        </w:rPr>
      </w:pPr>
      <w:r>
        <w:rPr>
          <w:lang w:eastAsia="ja-JP"/>
        </w:rPr>
        <w:tab/>
        <w:t>- tax exemptions scheme for high emission industries</w:t>
      </w:r>
    </w:p>
    <w:p>
      <w:pPr>
        <w:pStyle w:val="Normal"/>
        <w:tabs>
          <w:tab w:val="clear" w:pos="720"/>
          <w:tab w:val="left" w:pos="2160" w:leader="none"/>
        </w:tabs>
        <w:jc w:val="both"/>
        <w:rPr/>
      </w:pPr>
      <w:r>
        <w:rPr>
          <w:lang w:eastAsia="ja-JP"/>
        </w:rPr>
        <w:tab/>
      </w:r>
      <w:r>
        <w:rPr>
          <w:lang w:eastAsia="ja-JP"/>
        </w:rPr>
        <w:t>- international emissions trading regime</w:t>
      </w:r>
    </w:p>
    <w:p>
      <w:pPr>
        <w:pStyle w:val="Normal"/>
        <w:tabs>
          <w:tab w:val="clear" w:pos="720"/>
          <w:tab w:val="left" w:pos="2160" w:leader="none"/>
        </w:tabs>
        <w:jc w:val="both"/>
        <w:rPr>
          <w:lang w:eastAsia="ja-JP"/>
        </w:rPr>
      </w:pPr>
      <w:r>
        <w:rPr>
          <w:lang w:eastAsia="ja-JP"/>
        </w:rPr>
        <w:tab/>
        <w:t>- subsidy program for energy conservation technologies</w:t>
      </w:r>
      <w:r>
        <w:br w:type="page"/>
      </w:r>
    </w:p>
    <w:p>
      <w:pPr>
        <w:pStyle w:val="Normal"/>
        <w:tabs>
          <w:tab w:val="clear" w:pos="720"/>
          <w:tab w:val="left" w:pos="2160" w:leader="none"/>
        </w:tabs>
        <w:jc w:val="both"/>
        <w:rPr>
          <w:lang w:eastAsia="ja-JP"/>
        </w:rPr>
      </w:pPr>
      <w:r>
        <w:rPr>
          <w:lang w:eastAsia="ja-JP"/>
        </w:rPr>
      </w:r>
      <w:bookmarkStart w:id="0" w:name="Appendix"/>
      <w:bookmarkStart w:id="1" w:name="Appendix"/>
    </w:p>
    <w:p>
      <w:pPr>
        <w:pStyle w:val="Normal"/>
        <w:tabs>
          <w:tab w:val="clear" w:pos="720"/>
          <w:tab w:val="left" w:pos="2160" w:leader="none"/>
        </w:tabs>
        <w:jc w:val="both"/>
        <w:rPr>
          <w:b/>
          <w:bCs/>
          <w:lang w:eastAsia="ja-JP"/>
        </w:rPr>
      </w:pPr>
      <w:bookmarkStart w:id="2" w:name="Appendix"/>
      <w:r>
        <w:rPr>
          <w:b/>
          <w:bCs/>
          <w:lang w:eastAsia="ja-JP"/>
        </w:rPr>
        <w:t xml:space="preserve">Appendix 1: </w:t>
      </w:r>
      <w:bookmarkEnd w:id="2"/>
    </w:p>
    <w:p>
      <w:pPr>
        <w:pStyle w:val="Normal"/>
        <w:tabs>
          <w:tab w:val="clear" w:pos="720"/>
          <w:tab w:val="left" w:pos="2160" w:leader="none"/>
        </w:tabs>
        <w:jc w:val="both"/>
        <w:rPr>
          <w:b/>
          <w:bCs/>
          <w:lang w:eastAsia="ja-JP"/>
        </w:rPr>
      </w:pPr>
      <w:r>
        <w:rPr>
          <w:b/>
          <w:bCs/>
          <w:lang w:eastAsia="ja-JP"/>
        </w:rPr>
      </w:r>
    </w:p>
    <w:p>
      <w:pPr>
        <w:pStyle w:val="Normal"/>
        <w:jc w:val="center"/>
        <w:rPr>
          <w:b/>
          <w:bCs/>
          <w:lang w:eastAsia="ja-JP"/>
        </w:rPr>
      </w:pPr>
      <w:r>
        <w:rPr>
          <w:b/>
          <w:bCs/>
        </w:rPr>
        <w:t>List of Electricity</w:t>
      </w:r>
      <w:r>
        <w:rPr>
          <w:b/>
          <w:bCs/>
          <w:lang w:eastAsia="ja-JP"/>
        </w:rPr>
        <w:t xml:space="preserve"> Business Research Committee </w:t>
      </w:r>
      <w:r>
        <w:rPr>
          <w:b/>
          <w:bCs/>
          <w:lang w:eastAsia="ja-JP"/>
        </w:rPr>
        <w:t>(26 members)</w:t>
      </w:r>
    </w:p>
    <w:p>
      <w:pPr>
        <w:pStyle w:val="Normal"/>
        <w:rPr>
          <w:b/>
          <w:bCs/>
          <w:lang w:eastAsia="ja-JP"/>
        </w:rPr>
      </w:pPr>
      <w:r>
        <w:rPr>
          <w:b/>
          <w:bCs/>
          <w:lang w:eastAsia="ja-JP"/>
        </w:rPr>
      </w:r>
    </w:p>
    <w:p>
      <w:pPr>
        <w:pStyle w:val="Normal"/>
        <w:tabs>
          <w:tab w:val="clear" w:pos="720"/>
          <w:tab w:val="left" w:pos="1800" w:leader="none"/>
          <w:tab w:val="left" w:pos="4680" w:leader="none"/>
        </w:tabs>
        <w:rPr/>
      </w:pPr>
      <w:r>
        <w:rPr>
          <w:lang w:eastAsia="ja-JP"/>
        </w:rPr>
        <w:t xml:space="preserve">Chair: </w:t>
        <w:tab/>
        <w:t xml:space="preserve">Prof. Yasuhiko Torii </w:t>
      </w:r>
      <w:r>
        <w:rPr>
          <w:lang w:eastAsia="ja-JP"/>
        </w:rPr>
        <w:tab/>
      </w:r>
      <w:r>
        <w:rPr>
          <w:lang w:eastAsia="ja-JP"/>
        </w:rPr>
        <w:t>Keio Univ</w:t>
      </w:r>
      <w:r>
        <w:rPr>
          <w:lang w:eastAsia="ja-JP"/>
        </w:rPr>
        <w:t>ersity</w:t>
      </w:r>
      <w:r>
        <w:rPr>
          <w:lang w:eastAsia="ja-JP"/>
        </w:rPr>
        <w:tab/>
      </w:r>
      <w:r>
        <w:rPr>
          <w:lang w:eastAsia="ja-JP"/>
        </w:rPr>
        <w:tab/>
        <w:tab/>
      </w:r>
    </w:p>
    <w:p>
      <w:pPr>
        <w:pStyle w:val="Normal"/>
        <w:tabs>
          <w:tab w:val="clear" w:pos="720"/>
          <w:tab w:val="left" w:pos="1800" w:leader="none"/>
          <w:tab w:val="left" w:pos="4680" w:leader="none"/>
        </w:tabs>
        <w:rPr>
          <w:lang w:eastAsia="ja-JP"/>
        </w:rPr>
      </w:pPr>
      <w:r>
        <w:rPr>
          <w:lang w:eastAsia="ja-JP"/>
        </w:rPr>
        <w:t>Deputy Chair:</w:t>
      </w:r>
      <w:r>
        <w:rPr>
          <w:lang w:eastAsia="ja-JP"/>
        </w:rPr>
        <w:tab/>
      </w:r>
      <w:r>
        <w:rPr>
          <w:lang w:eastAsia="ja-JP"/>
        </w:rPr>
        <w:t xml:space="preserve">Mr. Yoshihiro Sakamoto </w:t>
      </w:r>
      <w:r>
        <w:rPr>
          <w:lang w:eastAsia="ja-JP"/>
        </w:rPr>
        <w:tab/>
      </w:r>
      <w:r>
        <w:rPr>
          <w:lang w:eastAsia="ja-JP"/>
        </w:rPr>
        <w:t>Japan Energy Economic Research</w:t>
      </w:r>
    </w:p>
    <w:p>
      <w:pPr>
        <w:pStyle w:val="Normal"/>
        <w:tabs>
          <w:tab w:val="clear" w:pos="720"/>
          <w:tab w:val="left" w:pos="1800" w:leader="none"/>
          <w:tab w:val="left" w:pos="4680" w:leader="none"/>
        </w:tabs>
        <w:rPr/>
      </w:pPr>
      <w:r>
        <w:rPr>
          <w:rFonts w:eastAsia="Arial"/>
          <w:lang w:eastAsia="ja-JP"/>
        </w:rPr>
        <w:t xml:space="preserve"> </w:t>
      </w:r>
      <w:r>
        <w:rPr>
          <w:lang w:eastAsia="ja-JP"/>
        </w:rPr>
        <w:tab/>
        <w:tab/>
      </w:r>
      <w:r>
        <w:rPr>
          <w:lang w:eastAsia="ja-JP"/>
        </w:rPr>
        <w:t>Institute</w:t>
      </w:r>
      <w:r>
        <w:rPr>
          <w:lang w:eastAsia="ja-JP"/>
        </w:rPr>
        <w:tab/>
        <w:tab/>
        <w:tab/>
        <w:tab/>
      </w:r>
    </w:p>
    <w:p>
      <w:pPr>
        <w:pStyle w:val="Normal"/>
        <w:rPr>
          <w:lang w:eastAsia="ja-JP"/>
        </w:rPr>
      </w:pPr>
      <w:r>
        <w:rPr>
          <w:lang w:eastAsia="ja-JP"/>
        </w:rPr>
      </w:r>
    </w:p>
    <w:p>
      <w:pPr>
        <w:pStyle w:val="Normal"/>
        <w:tabs>
          <w:tab w:val="clear" w:pos="720"/>
          <w:tab w:val="left" w:pos="1800" w:leader="none"/>
          <w:tab w:val="left" w:pos="4680" w:leader="none"/>
        </w:tabs>
        <w:rPr/>
      </w:pPr>
      <w:r>
        <w:rPr>
          <w:lang w:eastAsia="ja-JP"/>
        </w:rPr>
        <w:t>Members:</w:t>
        <w:tab/>
        <w:t xml:space="preserve">Mr. </w:t>
      </w:r>
      <w:r>
        <w:rPr>
          <w:lang w:eastAsia="ja-JP"/>
        </w:rPr>
        <w:t xml:space="preserve">Masu </w:t>
      </w:r>
      <w:r>
        <w:rPr>
          <w:lang w:eastAsia="ja-JP"/>
        </w:rPr>
        <w:t>Uekusa</w:t>
      </w:r>
      <w:r>
        <w:rPr>
          <w:lang w:eastAsia="ja-JP"/>
        </w:rPr>
        <w:tab/>
      </w:r>
      <w:r>
        <w:rPr>
          <w:lang w:eastAsia="ja-JP"/>
        </w:rPr>
        <w:t>Toyo Univ</w:t>
      </w:r>
      <w:r>
        <w:rPr>
          <w:lang w:eastAsia="ja-JP"/>
        </w:rPr>
        <w:t>ersity</w:t>
        <w:tab/>
        <w:tab/>
        <w:tab/>
      </w:r>
    </w:p>
    <w:p>
      <w:pPr>
        <w:pStyle w:val="Normal"/>
        <w:tabs>
          <w:tab w:val="clear" w:pos="720"/>
          <w:tab w:val="left" w:pos="1800" w:leader="none"/>
          <w:tab w:val="left" w:pos="4680" w:leader="none"/>
        </w:tabs>
        <w:rPr/>
      </w:pPr>
      <w:r>
        <w:rPr>
          <w:lang w:eastAsia="ja-JP"/>
        </w:rPr>
        <w:tab/>
        <w:t xml:space="preserve">Mr. Eiji Uehara </w:t>
      </w:r>
      <w:r>
        <w:rPr>
          <w:lang w:eastAsia="ja-JP"/>
        </w:rPr>
        <w:tab/>
      </w:r>
      <w:r>
        <w:rPr>
          <w:lang w:eastAsia="ja-JP"/>
        </w:rPr>
        <w:t>Tokyo Gas</w:t>
      </w:r>
      <w:r>
        <w:rPr>
          <w:lang w:eastAsia="ja-JP"/>
        </w:rPr>
        <w:tab/>
        <w:tab/>
        <w:tab/>
        <w:tab/>
      </w:r>
    </w:p>
    <w:p>
      <w:pPr>
        <w:pStyle w:val="Normal"/>
        <w:tabs>
          <w:tab w:val="clear" w:pos="720"/>
          <w:tab w:val="left" w:pos="1800" w:leader="none"/>
          <w:tab w:val="left" w:pos="4680" w:leader="none"/>
        </w:tabs>
        <w:rPr/>
      </w:pPr>
      <w:r>
        <w:rPr>
          <w:lang w:eastAsia="ja-JP"/>
        </w:rPr>
        <w:tab/>
        <w:t xml:space="preserve">Prof. Hiroko Ota </w:t>
      </w:r>
      <w:r>
        <w:rPr>
          <w:lang w:eastAsia="ja-JP"/>
        </w:rPr>
        <w:tab/>
        <w:t>Policy Research</w:t>
      </w:r>
      <w:r>
        <w:rPr>
          <w:lang w:eastAsia="ja-JP"/>
        </w:rPr>
        <w:t xml:space="preserve"> </w:t>
      </w:r>
      <w:r>
        <w:rPr>
          <w:lang w:eastAsia="ja-JP"/>
        </w:rPr>
        <w:t>Institute</w:t>
      </w:r>
    </w:p>
    <w:p>
      <w:pPr>
        <w:pStyle w:val="Normal"/>
        <w:tabs>
          <w:tab w:val="clear" w:pos="720"/>
          <w:tab w:val="left" w:pos="1800" w:leader="none"/>
          <w:tab w:val="left" w:pos="4680" w:leader="none"/>
        </w:tabs>
        <w:rPr/>
      </w:pPr>
      <w:r>
        <w:rPr>
          <w:lang w:eastAsia="ja-JP"/>
        </w:rPr>
        <w:tab/>
        <w:t xml:space="preserve">Mr. </w:t>
      </w:r>
      <w:r>
        <w:rPr>
          <w:lang w:eastAsia="ja-JP"/>
        </w:rPr>
        <w:t xml:space="preserve">Mutsutake </w:t>
      </w:r>
      <w:r>
        <w:rPr>
          <w:lang w:eastAsia="ja-JP"/>
        </w:rPr>
        <w:t xml:space="preserve">Otsuka </w:t>
      </w:r>
      <w:r>
        <w:rPr>
          <w:lang w:eastAsia="ja-JP"/>
        </w:rPr>
        <w:tab/>
      </w:r>
      <w:r>
        <w:rPr>
          <w:lang w:eastAsia="ja-JP"/>
        </w:rPr>
        <w:t>East Japan Railroad</w:t>
      </w:r>
      <w:r>
        <w:rPr>
          <w:lang w:eastAsia="ja-JP"/>
        </w:rPr>
        <w:tab/>
        <w:tab/>
        <w:tab/>
      </w:r>
      <w:r>
        <w:rPr>
          <w:lang w:eastAsia="ja-JP"/>
        </w:rPr>
        <w:t xml:space="preserve">Mr. Takuma Osai </w:t>
      </w:r>
      <w:r>
        <w:rPr>
          <w:lang w:eastAsia="ja-JP"/>
        </w:rPr>
        <w:tab/>
      </w:r>
      <w:r>
        <w:rPr>
          <w:lang w:eastAsia="ja-JP"/>
        </w:rPr>
        <w:t>Japan IBM</w:t>
      </w:r>
      <w:r>
        <w:rPr>
          <w:lang w:eastAsia="ja-JP"/>
        </w:rPr>
        <w:tab/>
        <w:tab/>
        <w:tab/>
      </w:r>
    </w:p>
    <w:p>
      <w:pPr>
        <w:pStyle w:val="Normal"/>
        <w:tabs>
          <w:tab w:val="clear" w:pos="720"/>
          <w:tab w:val="left" w:pos="1800" w:leader="none"/>
          <w:tab w:val="left" w:pos="4680" w:leader="none"/>
        </w:tabs>
        <w:rPr/>
      </w:pPr>
      <w:r>
        <w:rPr>
          <w:lang w:eastAsia="ja-JP"/>
        </w:rPr>
        <w:tab/>
        <w:t xml:space="preserve">Prof. Yoshitsugu Kanemoto </w:t>
      </w:r>
      <w:r>
        <w:rPr>
          <w:lang w:eastAsia="ja-JP"/>
        </w:rPr>
        <w:tab/>
      </w:r>
      <w:r>
        <w:rPr>
          <w:lang w:eastAsia="ja-JP"/>
        </w:rPr>
        <w:t>Tokyo Univ</w:t>
      </w:r>
      <w:r>
        <w:rPr>
          <w:lang w:eastAsia="ja-JP"/>
        </w:rPr>
        <w:t>ersity</w:t>
        <w:tab/>
        <w:tab/>
      </w:r>
    </w:p>
    <w:p>
      <w:pPr>
        <w:pStyle w:val="Normal"/>
        <w:tabs>
          <w:tab w:val="clear" w:pos="720"/>
          <w:tab w:val="left" w:pos="1800" w:leader="none"/>
          <w:tab w:val="left" w:pos="4680" w:leader="none"/>
        </w:tabs>
        <w:rPr/>
      </w:pPr>
      <w:r>
        <w:rPr>
          <w:lang w:eastAsia="ja-JP"/>
        </w:rPr>
        <w:tab/>
        <w:t xml:space="preserve">Mr. </w:t>
      </w:r>
      <w:r>
        <w:rPr>
          <w:lang w:eastAsia="ja-JP"/>
        </w:rPr>
        <w:t xml:space="preserve">Michisada </w:t>
      </w:r>
      <w:r>
        <w:rPr>
          <w:lang w:eastAsia="ja-JP"/>
        </w:rPr>
        <w:t xml:space="preserve">Kamata </w:t>
      </w:r>
      <w:r>
        <w:rPr>
          <w:lang w:eastAsia="ja-JP"/>
        </w:rPr>
        <w:tab/>
      </w:r>
      <w:r>
        <w:rPr>
          <w:lang w:eastAsia="ja-JP"/>
        </w:rPr>
        <w:t>Kyushu Electric</w:t>
      </w:r>
      <w:r>
        <w:rPr>
          <w:lang w:eastAsia="ja-JP"/>
        </w:rPr>
        <w:tab/>
        <w:tab/>
        <w:tab/>
      </w:r>
    </w:p>
    <w:p>
      <w:pPr>
        <w:pStyle w:val="Normal"/>
        <w:tabs>
          <w:tab w:val="clear" w:pos="720"/>
          <w:tab w:val="left" w:pos="1800" w:leader="none"/>
          <w:tab w:val="left" w:pos="4680" w:leader="none"/>
        </w:tabs>
        <w:rPr/>
      </w:pPr>
      <w:r>
        <w:rPr>
          <w:lang w:eastAsia="ja-JP"/>
        </w:rPr>
        <w:tab/>
        <w:t xml:space="preserve">Mr. Fumio Kawaguchi </w:t>
      </w:r>
      <w:r>
        <w:rPr>
          <w:lang w:eastAsia="ja-JP"/>
        </w:rPr>
        <w:tab/>
      </w:r>
      <w:r>
        <w:rPr>
          <w:lang w:eastAsia="ja-JP"/>
        </w:rPr>
        <w:t>Chubu Electric</w:t>
      </w:r>
      <w:r>
        <w:rPr>
          <w:lang w:eastAsia="ja-JP"/>
        </w:rPr>
        <w:tab/>
        <w:tab/>
      </w:r>
    </w:p>
    <w:p>
      <w:pPr>
        <w:pStyle w:val="Normal"/>
        <w:tabs>
          <w:tab w:val="clear" w:pos="720"/>
          <w:tab w:val="left" w:pos="1800" w:leader="none"/>
          <w:tab w:val="left" w:pos="4680" w:leader="none"/>
        </w:tabs>
        <w:rPr/>
      </w:pPr>
      <w:r>
        <w:rPr>
          <w:lang w:eastAsia="ja-JP"/>
        </w:rPr>
        <w:tab/>
        <w:t xml:space="preserve">Mr. Mitsuo Kawano </w:t>
      </w:r>
      <w:r>
        <w:rPr>
          <w:lang w:eastAsia="ja-JP"/>
        </w:rPr>
        <w:tab/>
      </w:r>
      <w:r>
        <w:rPr>
          <w:lang w:eastAsia="ja-JP"/>
        </w:rPr>
        <w:t>Naigai Joho Institute</w:t>
      </w:r>
      <w:r>
        <w:rPr>
          <w:lang w:eastAsia="ja-JP"/>
        </w:rPr>
        <w:tab/>
        <w:tab/>
      </w:r>
    </w:p>
    <w:p>
      <w:pPr>
        <w:pStyle w:val="Normal"/>
        <w:tabs>
          <w:tab w:val="clear" w:pos="720"/>
          <w:tab w:val="left" w:pos="1800" w:leader="none"/>
          <w:tab w:val="left" w:pos="4680" w:leader="none"/>
        </w:tabs>
        <w:rPr/>
      </w:pPr>
      <w:r>
        <w:rPr>
          <w:lang w:eastAsia="ja-JP"/>
        </w:rPr>
        <w:tab/>
        <w:t xml:space="preserve">Mr. Katsuhiko Sueji </w:t>
      </w:r>
      <w:r>
        <w:rPr>
          <w:lang w:eastAsia="ja-JP"/>
        </w:rPr>
        <w:tab/>
      </w:r>
      <w:r>
        <w:rPr>
          <w:lang w:eastAsia="ja-JP"/>
        </w:rPr>
        <w:t>Asia Pacific Energy Forum</w:t>
      </w:r>
      <w:r>
        <w:rPr>
          <w:lang w:eastAsia="ja-JP"/>
        </w:rPr>
        <w:tab/>
      </w:r>
    </w:p>
    <w:p>
      <w:pPr>
        <w:pStyle w:val="Normal"/>
        <w:tabs>
          <w:tab w:val="clear" w:pos="720"/>
          <w:tab w:val="left" w:pos="1800" w:leader="none"/>
          <w:tab w:val="left" w:pos="4680" w:leader="none"/>
        </w:tabs>
        <w:rPr/>
      </w:pPr>
      <w:r>
        <w:rPr>
          <w:lang w:eastAsia="ja-JP"/>
        </w:rPr>
        <w:tab/>
        <w:t xml:space="preserve">Mr. Toshifumi Suzuki </w:t>
      </w:r>
      <w:r>
        <w:rPr>
          <w:lang w:eastAsia="ja-JP"/>
        </w:rPr>
        <w:tab/>
      </w:r>
      <w:r>
        <w:rPr>
          <w:lang w:eastAsia="ja-JP"/>
        </w:rPr>
        <w:t>Ito Yokado</w:t>
      </w:r>
      <w:r>
        <w:rPr>
          <w:lang w:eastAsia="ja-JP"/>
        </w:rPr>
        <w:tab/>
        <w:tab/>
        <w:tab/>
      </w:r>
    </w:p>
    <w:p>
      <w:pPr>
        <w:pStyle w:val="Normal"/>
        <w:tabs>
          <w:tab w:val="clear" w:pos="720"/>
          <w:tab w:val="left" w:pos="1800" w:leader="none"/>
          <w:tab w:val="left" w:pos="4680" w:leader="none"/>
        </w:tabs>
        <w:rPr/>
      </w:pPr>
      <w:r>
        <w:rPr>
          <w:lang w:eastAsia="ja-JP"/>
        </w:rPr>
        <w:tab/>
        <w:t xml:space="preserve">Prof. Yasuji Sekine </w:t>
      </w:r>
      <w:r>
        <w:rPr>
          <w:lang w:eastAsia="ja-JP"/>
        </w:rPr>
        <w:tab/>
      </w:r>
      <w:r>
        <w:rPr>
          <w:lang w:eastAsia="ja-JP"/>
        </w:rPr>
        <w:t>Tokyo Rika Univ</w:t>
      </w:r>
      <w:r>
        <w:rPr>
          <w:lang w:eastAsia="ja-JP"/>
        </w:rPr>
        <w:t>ersity</w:t>
        <w:tab/>
        <w:tab/>
      </w:r>
    </w:p>
    <w:p>
      <w:pPr>
        <w:pStyle w:val="Normal"/>
        <w:tabs>
          <w:tab w:val="clear" w:pos="720"/>
          <w:tab w:val="left" w:pos="1800" w:leader="none"/>
          <w:tab w:val="left" w:pos="4680" w:leader="none"/>
        </w:tabs>
        <w:rPr>
          <w:lang w:eastAsia="ja-JP"/>
        </w:rPr>
      </w:pPr>
      <w:r>
        <w:rPr>
          <w:lang w:eastAsia="ja-JP"/>
        </w:rPr>
        <w:tab/>
        <w:t xml:space="preserve">Mr. Masayoshi Takanashi </w:t>
      </w:r>
      <w:r>
        <w:rPr>
          <w:lang w:eastAsia="ja-JP"/>
        </w:rPr>
        <w:tab/>
      </w:r>
      <w:r>
        <w:rPr>
          <w:lang w:eastAsia="ja-JP"/>
        </w:rPr>
        <w:t>Japan Chamber of C</w:t>
      </w:r>
      <w:r>
        <w:rPr>
          <w:lang w:eastAsia="ja-JP"/>
        </w:rPr>
        <w:t>ommerce</w:t>
      </w:r>
      <w:r>
        <w:rPr>
          <w:lang w:eastAsia="ja-JP"/>
        </w:rPr>
        <w:tab/>
      </w:r>
    </w:p>
    <w:p>
      <w:pPr>
        <w:pStyle w:val="Normal"/>
        <w:tabs>
          <w:tab w:val="clear" w:pos="720"/>
          <w:tab w:val="left" w:pos="1800" w:leader="none"/>
          <w:tab w:val="left" w:pos="4680" w:leader="none"/>
        </w:tabs>
        <w:rPr/>
      </w:pPr>
      <w:r>
        <w:rPr>
          <w:lang w:eastAsia="ja-JP"/>
        </w:rPr>
        <w:tab/>
        <w:t xml:space="preserve">Mr. Noboru Chihaya </w:t>
      </w:r>
      <w:r>
        <w:rPr>
          <w:lang w:eastAsia="ja-JP"/>
        </w:rPr>
        <w:tab/>
        <w:t>Nippon Steel</w:t>
        <w:tab/>
        <w:tab/>
        <w:tab/>
      </w:r>
    </w:p>
    <w:p>
      <w:pPr>
        <w:pStyle w:val="Normal"/>
        <w:tabs>
          <w:tab w:val="clear" w:pos="720"/>
          <w:tab w:val="left" w:pos="1800" w:leader="none"/>
          <w:tab w:val="left" w:pos="4680" w:leader="none"/>
        </w:tabs>
        <w:rPr/>
      </w:pPr>
      <w:r>
        <w:rPr>
          <w:lang w:eastAsia="ja-JP"/>
        </w:rPr>
        <w:tab/>
        <w:t xml:space="preserve">Mr. Fujio Cho </w:t>
      </w:r>
      <w:r>
        <w:rPr>
          <w:lang w:eastAsia="ja-JP"/>
        </w:rPr>
        <w:tab/>
      </w:r>
      <w:r>
        <w:rPr>
          <w:lang w:eastAsia="ja-JP"/>
        </w:rPr>
        <w:t>Toyota</w:t>
      </w:r>
      <w:r>
        <w:rPr>
          <w:lang w:eastAsia="ja-JP"/>
        </w:rPr>
        <w:t xml:space="preserve"> Motor Corp.</w:t>
      </w:r>
      <w:r>
        <w:rPr>
          <w:lang w:eastAsia="ja-JP"/>
        </w:rPr>
        <w:tab/>
      </w:r>
      <w:r>
        <w:rPr>
          <w:lang w:eastAsia="ja-JP"/>
        </w:rPr>
        <w:tab/>
      </w:r>
    </w:p>
    <w:p>
      <w:pPr>
        <w:pStyle w:val="Normal"/>
        <w:tabs>
          <w:tab w:val="clear" w:pos="720"/>
          <w:tab w:val="left" w:pos="1800" w:leader="none"/>
          <w:tab w:val="left" w:pos="4680" w:leader="none"/>
        </w:tabs>
        <w:rPr>
          <w:lang w:eastAsia="ja-JP"/>
        </w:rPr>
      </w:pPr>
      <w:r>
        <w:rPr>
          <w:lang w:eastAsia="ja-JP"/>
        </w:rPr>
        <w:tab/>
        <w:t xml:space="preserve">Mr. Norio Tsumaki </w:t>
      </w:r>
      <w:r>
        <w:rPr>
          <w:lang w:eastAsia="ja-JP"/>
        </w:rPr>
        <w:tab/>
      </w:r>
      <w:r>
        <w:rPr>
          <w:lang w:eastAsia="ja-JP"/>
        </w:rPr>
        <w:t>National Federation of  Electricity</w:t>
      </w:r>
    </w:p>
    <w:p>
      <w:pPr>
        <w:pStyle w:val="Normal"/>
        <w:tabs>
          <w:tab w:val="clear" w:pos="720"/>
          <w:tab w:val="left" w:pos="1800" w:leader="none"/>
          <w:tab w:val="left" w:pos="4680" w:leader="none"/>
        </w:tabs>
        <w:rPr/>
      </w:pPr>
      <w:r>
        <w:rPr>
          <w:rFonts w:eastAsia="Arial"/>
          <w:lang w:eastAsia="ja-JP"/>
        </w:rPr>
        <w:t xml:space="preserve"> </w:t>
      </w:r>
      <w:r>
        <w:rPr>
          <w:lang w:eastAsia="ja-JP"/>
        </w:rPr>
        <w:tab/>
        <w:tab/>
      </w:r>
      <w:r>
        <w:rPr>
          <w:lang w:eastAsia="ja-JP"/>
        </w:rPr>
        <w:t>Industry Labor Union</w:t>
      </w:r>
      <w:r>
        <w:rPr>
          <w:lang w:eastAsia="ja-JP"/>
        </w:rPr>
        <w:tab/>
        <w:tab/>
      </w:r>
    </w:p>
    <w:p>
      <w:pPr>
        <w:pStyle w:val="Normal"/>
        <w:tabs>
          <w:tab w:val="clear" w:pos="720"/>
          <w:tab w:val="left" w:pos="1800" w:leader="none"/>
          <w:tab w:val="left" w:pos="4680" w:leader="none"/>
        </w:tabs>
        <w:rPr/>
      </w:pPr>
      <w:r>
        <w:rPr>
          <w:lang w:eastAsia="ja-JP"/>
        </w:rPr>
        <w:tab/>
        <w:t xml:space="preserve">Prof. Toshimasa Tsuruta </w:t>
      </w:r>
      <w:r>
        <w:rPr>
          <w:lang w:eastAsia="ja-JP"/>
        </w:rPr>
        <w:tab/>
      </w:r>
      <w:r>
        <w:rPr>
          <w:lang w:eastAsia="ja-JP"/>
        </w:rPr>
        <w:t>Senshu Univ</w:t>
      </w:r>
      <w:r>
        <w:rPr>
          <w:lang w:eastAsia="ja-JP"/>
        </w:rPr>
        <w:t>ersity</w:t>
        <w:tab/>
        <w:tab/>
      </w:r>
    </w:p>
    <w:p>
      <w:pPr>
        <w:pStyle w:val="Normal"/>
        <w:tabs>
          <w:tab w:val="clear" w:pos="720"/>
          <w:tab w:val="left" w:pos="1800" w:leader="none"/>
          <w:tab w:val="left" w:pos="4680" w:leader="none"/>
        </w:tabs>
        <w:rPr/>
      </w:pPr>
      <w:r>
        <w:rPr>
          <w:lang w:eastAsia="ja-JP"/>
        </w:rPr>
        <w:tab/>
        <w:t xml:space="preserve">Mr. Masao Nishimura </w:t>
      </w:r>
      <w:r>
        <w:rPr>
          <w:lang w:eastAsia="ja-JP"/>
        </w:rPr>
        <w:tab/>
      </w:r>
      <w:r>
        <w:rPr>
          <w:lang w:eastAsia="ja-JP"/>
        </w:rPr>
        <w:t>Nihon Kogyo Bank</w:t>
      </w:r>
      <w:r>
        <w:rPr>
          <w:lang w:eastAsia="ja-JP"/>
        </w:rPr>
        <w:tab/>
        <w:tab/>
      </w:r>
    </w:p>
    <w:p>
      <w:pPr>
        <w:pStyle w:val="Normal"/>
        <w:tabs>
          <w:tab w:val="clear" w:pos="720"/>
          <w:tab w:val="left" w:pos="1800" w:leader="none"/>
          <w:tab w:val="left" w:pos="4680" w:leader="none"/>
        </w:tabs>
        <w:rPr/>
      </w:pPr>
      <w:r>
        <w:rPr>
          <w:lang w:eastAsia="ja-JP"/>
        </w:rPr>
        <w:tab/>
        <w:t xml:space="preserve">Prof. Tatsuo Hatta </w:t>
      </w:r>
      <w:r>
        <w:rPr>
          <w:lang w:eastAsia="ja-JP"/>
        </w:rPr>
        <w:tab/>
      </w:r>
      <w:r>
        <w:rPr>
          <w:lang w:eastAsia="ja-JP"/>
        </w:rPr>
        <w:t>Tokyo Univ</w:t>
      </w:r>
      <w:r>
        <w:rPr>
          <w:lang w:eastAsia="ja-JP"/>
        </w:rPr>
        <w:t>ersity</w:t>
        <w:tab/>
        <w:tab/>
        <w:tab/>
      </w:r>
    </w:p>
    <w:p>
      <w:pPr>
        <w:pStyle w:val="Normal"/>
        <w:tabs>
          <w:tab w:val="clear" w:pos="720"/>
          <w:tab w:val="left" w:pos="1800" w:leader="none"/>
          <w:tab w:val="left" w:pos="4680" w:leader="none"/>
        </w:tabs>
        <w:rPr/>
      </w:pPr>
      <w:r>
        <w:rPr>
          <w:lang w:eastAsia="ja-JP"/>
        </w:rPr>
        <w:tab/>
        <w:t xml:space="preserve">Mr. Yosaku Fuji </w:t>
      </w:r>
      <w:r>
        <w:rPr>
          <w:lang w:eastAsia="ja-JP"/>
        </w:rPr>
        <w:tab/>
      </w:r>
      <w:r>
        <w:rPr>
          <w:lang w:eastAsia="ja-JP"/>
        </w:rPr>
        <w:t>KEPCO</w:t>
      </w:r>
      <w:r>
        <w:rPr>
          <w:lang w:eastAsia="ja-JP"/>
        </w:rPr>
        <w:tab/>
        <w:tab/>
        <w:tab/>
        <w:tab/>
      </w:r>
    </w:p>
    <w:p>
      <w:pPr>
        <w:pStyle w:val="Normal"/>
        <w:tabs>
          <w:tab w:val="clear" w:pos="720"/>
          <w:tab w:val="left" w:pos="1800" w:leader="none"/>
          <w:tab w:val="left" w:pos="4680" w:leader="none"/>
        </w:tabs>
        <w:rPr/>
      </w:pPr>
      <w:r>
        <w:rPr>
          <w:lang w:eastAsia="ja-JP"/>
        </w:rPr>
        <w:tab/>
        <w:t xml:space="preserve">Mr. Toshiya Minami </w:t>
      </w:r>
      <w:r>
        <w:rPr>
          <w:lang w:eastAsia="ja-JP"/>
        </w:rPr>
        <w:tab/>
      </w:r>
      <w:r>
        <w:rPr>
          <w:lang w:eastAsia="ja-JP"/>
        </w:rPr>
        <w:t>TEPCO</w:t>
      </w:r>
      <w:r>
        <w:rPr>
          <w:lang w:eastAsia="ja-JP"/>
        </w:rPr>
        <w:tab/>
        <w:tab/>
        <w:tab/>
      </w:r>
    </w:p>
    <w:p>
      <w:pPr>
        <w:pStyle w:val="Normal"/>
        <w:tabs>
          <w:tab w:val="clear" w:pos="720"/>
          <w:tab w:val="left" w:pos="1800" w:leader="none"/>
          <w:tab w:val="left" w:pos="4680" w:leader="none"/>
          <w:tab w:val="left" w:pos="4860" w:leader="none"/>
        </w:tabs>
        <w:rPr>
          <w:lang w:eastAsia="ja-JP"/>
        </w:rPr>
      </w:pPr>
      <w:r>
        <w:rPr>
          <w:lang w:eastAsia="ja-JP"/>
        </w:rPr>
        <w:tab/>
        <w:t xml:space="preserve">Mr. Isamu Mori </w:t>
      </w:r>
      <w:r>
        <w:rPr>
          <w:lang w:eastAsia="ja-JP"/>
        </w:rPr>
        <w:tab/>
      </w:r>
      <w:r>
        <w:rPr>
          <w:lang w:eastAsia="ja-JP"/>
        </w:rPr>
        <w:t>E</w:t>
      </w:r>
      <w:r>
        <w:rPr>
          <w:lang w:eastAsia="ja-JP"/>
        </w:rPr>
        <w:t>n</w:t>
      </w:r>
      <w:r>
        <w:rPr>
          <w:lang w:eastAsia="ja-JP"/>
        </w:rPr>
        <w:t>net</w:t>
      </w:r>
      <w:r>
        <w:rPr>
          <w:lang w:eastAsia="ja-JP"/>
        </w:rPr>
        <w:t xml:space="preserve"> Corp. (New Entrant)</w:t>
      </w:r>
      <w:r>
        <w:rPr>
          <w:lang w:eastAsia="ja-JP"/>
        </w:rPr>
        <w:tab/>
      </w:r>
    </w:p>
    <w:p>
      <w:pPr>
        <w:pStyle w:val="Normal"/>
        <w:tabs>
          <w:tab w:val="clear" w:pos="720"/>
          <w:tab w:val="left" w:pos="1800" w:leader="none"/>
          <w:tab w:val="left" w:pos="4680" w:leader="none"/>
        </w:tabs>
        <w:rPr/>
      </w:pPr>
      <w:r>
        <w:rPr>
          <w:lang w:eastAsia="ja-JP"/>
        </w:rPr>
        <w:tab/>
        <w:t xml:space="preserve">Ms. Hatsuko Yoshioka </w:t>
      </w:r>
      <w:r>
        <w:rPr>
          <w:lang w:eastAsia="ja-JP"/>
        </w:rPr>
        <w:tab/>
      </w:r>
      <w:r>
        <w:rPr>
          <w:lang w:eastAsia="ja-JP"/>
        </w:rPr>
        <w:t>Housewives Federation</w:t>
      </w:r>
      <w:r>
        <w:rPr>
          <w:lang w:eastAsia="ja-JP"/>
        </w:rPr>
        <w:tab/>
      </w:r>
    </w:p>
    <w:p>
      <w:pPr>
        <w:pStyle w:val="Normal"/>
        <w:tabs>
          <w:tab w:val="clear" w:pos="720"/>
          <w:tab w:val="left" w:pos="1800" w:leader="none"/>
          <w:tab w:val="left" w:pos="4680" w:leader="none"/>
        </w:tabs>
        <w:jc w:val="both"/>
        <w:rPr/>
      </w:pPr>
      <w:r>
        <w:rPr>
          <w:lang w:eastAsia="ja-JP"/>
        </w:rPr>
        <w:tab/>
        <w:t xml:space="preserve">Ms Mitsuyo Watanabe </w:t>
      </w:r>
      <w:r>
        <w:rPr>
          <w:lang w:eastAsia="ja-JP"/>
        </w:rPr>
        <w:tab/>
      </w:r>
      <w:r>
        <w:rPr>
          <w:lang w:eastAsia="ja-JP"/>
        </w:rPr>
        <w:t>Japan CO-OP</w:t>
      </w:r>
      <w:r>
        <w:rPr>
          <w:lang w:eastAsia="ja-JP"/>
        </w:rPr>
        <w:tab/>
      </w:r>
    </w:p>
    <w:sectPr>
      <w:headerReference w:type="default" r:id="rId2"/>
      <w:footerReference w:type="default" r:id="rId3"/>
      <w:footnotePr>
        <w:numFmt w:val="decimal"/>
      </w:footnotePr>
      <w:type w:val="nextPage"/>
      <w:pgSz w:w="11906" w:h="16838"/>
      <w:pgMar w:left="1800" w:right="1800" w:gutter="0" w:header="720" w:top="126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8105" cy="160655"/>
              <wp:effectExtent l="0" t="0" r="0" b="0"/>
              <wp:wrapSquare wrapText="bothSides"/>
              <wp:docPr id="3"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lang w:eastAsia="ja-JP"/>
        </w:rPr>
        <w:t>The Mainichi Shimbun, a major Japanese daily, reports support levels for the Koizumi Cabinet to be at 81% (October 16, 2001)</w:t>
      </w:r>
    </w:p>
  </w:footnote>
  <w:footnote w:id="3">
    <w:p>
      <w:pPr>
        <w:pStyle w:val="FootnoteText"/>
        <w:rPr/>
      </w:pPr>
      <w:r>
        <w:rPr>
          <w:rStyle w:val="FootnoteCharacters"/>
        </w:rPr>
        <w:footnoteRef/>
      </w:r>
      <w:r>
        <w:rPr/>
        <w:t xml:space="preserve"> </w:t>
      </w:r>
      <w:r>
        <w:rPr>
          <w:lang w:eastAsia="ja-JP"/>
        </w:rPr>
        <w:t>exact numbers yet to be publicly announced</w:t>
      </w:r>
    </w:p>
  </w:footnote>
  <w:footnote w:id="4">
    <w:p>
      <w:pPr>
        <w:pStyle w:val="FootnoteText"/>
        <w:rPr/>
      </w:pPr>
      <w:r>
        <w:rPr>
          <w:rStyle w:val="FootnoteCharacters"/>
        </w:rPr>
        <w:footnoteRef/>
      </w:r>
      <w:r>
        <w:rPr/>
        <w:t xml:space="preserve"> </w:t>
      </w:r>
      <w:r>
        <w:rPr>
          <w:lang w:eastAsia="ja-JP"/>
        </w:rPr>
        <w:t>see report from September 4</w:t>
      </w:r>
    </w:p>
  </w:footnote>
  <w:footnote w:id="5">
    <w:p>
      <w:pPr>
        <w:pStyle w:val="FootnoteText"/>
        <w:rPr/>
      </w:pPr>
      <w:r>
        <w:rPr>
          <w:rStyle w:val="FootnoteCharacters"/>
        </w:rPr>
        <w:footnoteRef/>
      </w:r>
      <w:r>
        <w:rPr/>
        <w:t xml:space="preserve"> </w:t>
      </w:r>
      <w:r>
        <w:rPr>
          <w:lang w:eastAsia="ja-JP"/>
        </w:rPr>
        <w:t>an advisory body to the competent minister</w:t>
      </w:r>
    </w:p>
  </w:footnote>
  <w:footnote w:id="6">
    <w:p>
      <w:pPr>
        <w:pStyle w:val="FootnoteText"/>
        <w:rPr/>
      </w:pPr>
      <w:r>
        <w:rPr>
          <w:rStyle w:val="FootnoteCharacters"/>
        </w:rPr>
        <w:footnoteRef/>
      </w:r>
      <w:r>
        <w:rPr/>
        <w:t xml:space="preserve"> </w:t>
      </w:r>
      <w:r>
        <w:rPr>
          <w:lang w:eastAsia="ja-JP"/>
        </w:rPr>
        <w:t>the major Japanese industry body</w:t>
      </w:r>
    </w:p>
  </w:footnote>
  <w:footnote w:id="7">
    <w:p>
      <w:pPr>
        <w:pStyle w:val="FootnoteText"/>
        <w:rPr/>
      </w:pPr>
      <w:r>
        <w:rPr>
          <w:rStyle w:val="FootnoteCharacters"/>
        </w:rPr>
        <w:footnoteRef/>
      </w:r>
      <w:r>
        <w:rPr/>
        <w:t xml:space="preserve"> </w:t>
      </w:r>
      <w:r>
        <w:rPr>
          <w:lang w:eastAsia="ja-JP"/>
        </w:rPr>
        <w:t>the committee discussed the effects of a Y3000 t/C tax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lang w:eastAsia="ja-JP"/>
      </w:rPr>
    </w:pPr>
    <w:r>
      <mc:AlternateContent>
        <mc:Choice Requires="wps">
          <w:drawing>
            <wp:anchor behindDoc="1" distT="0" distB="0" distL="114935" distR="114935" simplePos="0" locked="0" layoutInCell="1" allowOverlap="1" relativeHeight="7">
              <wp:simplePos x="0" y="0"/>
              <wp:positionH relativeFrom="column">
                <wp:posOffset>-457200</wp:posOffset>
              </wp:positionH>
              <wp:positionV relativeFrom="paragraph">
                <wp:posOffset>342900</wp:posOffset>
              </wp:positionV>
              <wp:extent cx="6248400" cy="0"/>
              <wp:effectExtent l="0" t="5080" r="0" b="5080"/>
              <wp:wrapNone/>
              <wp:docPr id="2" name=""/>
              <a:graphic xmlns:a="http://schemas.openxmlformats.org/drawingml/2006/main">
                <a:graphicData uri="http://schemas.microsoft.com/office/word/2010/wordprocessingShape">
                  <wps:wsp>
                    <wps:cNvSpPr/>
                    <wps:spPr>
                      <a:xfrm>
                        <a:off x="0" y="0"/>
                        <a:ext cx="6248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7pt" to="455.95pt,27pt" stroked="t" o:allowincell="f" style="position:absolute">
              <v:stroke color="black" weight="9360" joinstyle="miter" endcap="flat"/>
              <v:fill o:detectmouseclick="t" on="false"/>
              <w10:wrap type="none"/>
            </v:line>
          </w:pict>
        </mc:Fallback>
      </mc:AlternateContent>
    </w:r>
    <w:r>
      <w:rPr>
        <w:sz w:val="20"/>
        <w:lang w:eastAsia="ja-JP"/>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Times New Roman" w:hAnsi="Times New Roman" w:cs="Times New Roman"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sz w:val="16"/>
      </w:rPr>
    </w:lvl>
  </w:abstractNum>
  <w:abstractNum w:abstractNumId="6">
    <w:lvl w:ilvl="0">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Times New Roman" w:hAnsi="Times New Roman" w:cs="Times New Roman"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ＭＳ 明朝;MS Mincho" w:cs="Arial"/>
      <w:color w:val="auto"/>
      <w:sz w:val="22"/>
      <w:szCs w:val="24"/>
      <w:lang w:val="en-GB" w:bidi="ar-SA" w:eastAsia="zh-CN"/>
    </w:rPr>
  </w:style>
  <w:style w:type="paragraph" w:styleId="Heading1">
    <w:name w:val="heading 1"/>
    <w:basedOn w:val="Normal"/>
    <w:next w:val="Normal"/>
    <w:qFormat/>
    <w:pPr>
      <w:keepNext w:val="true"/>
      <w:numPr>
        <w:ilvl w:val="0"/>
        <w:numId w:val="1"/>
      </w:numPr>
      <w:jc w:val="center"/>
      <w:outlineLvl w:val="0"/>
    </w:pPr>
    <w:rPr>
      <w:rFonts w:eastAsia="ＭＳ 明朝;MS Mincho"/>
      <w:b/>
      <w:bCs/>
      <w:lang w:eastAsia="ja-JP"/>
    </w:rPr>
  </w:style>
  <w:style w:type="paragraph" w:styleId="Heading2">
    <w:name w:val="heading 2"/>
    <w:basedOn w:val="Normal"/>
    <w:next w:val="Normal"/>
    <w:qFormat/>
    <w:pPr>
      <w:keepNext w:val="true"/>
      <w:numPr>
        <w:ilvl w:val="1"/>
        <w:numId w:val="1"/>
      </w:numPr>
      <w:jc w:val="center"/>
      <w:outlineLvl w:val="1"/>
    </w:pPr>
    <w:rPr>
      <w:rFonts w:eastAsia="ＭＳ 明朝;MS Mincho"/>
      <w:b/>
      <w:bCs/>
      <w:sz w:val="24"/>
      <w:lang w:eastAsia="ja-JP"/>
    </w:rPr>
  </w:style>
  <w:style w:type="paragraph" w:styleId="Heading3">
    <w:name w:val="heading 3"/>
    <w:basedOn w:val="Normal"/>
    <w:next w:val="Normal"/>
    <w:qFormat/>
    <w:pPr>
      <w:keepNext w:val="true"/>
      <w:numPr>
        <w:ilvl w:val="2"/>
        <w:numId w:val="1"/>
      </w:numPr>
      <w:jc w:val="center"/>
      <w:outlineLvl w:val="2"/>
    </w:pPr>
    <w:rPr>
      <w:rFonts w:eastAsia="ＭＳ 明朝;MS Mincho"/>
      <w:b/>
      <w:bCs/>
      <w:sz w:val="28"/>
      <w:lang w:eastAsia="ja-JP"/>
    </w:rPr>
  </w:style>
  <w:style w:type="paragraph" w:styleId="Heading4">
    <w:name w:val="heading 4"/>
    <w:basedOn w:val="Normal"/>
    <w:next w:val="Normal"/>
    <w:qFormat/>
    <w:pPr>
      <w:keepNext w:val="true"/>
      <w:numPr>
        <w:ilvl w:val="3"/>
        <w:numId w:val="1"/>
      </w:numPr>
      <w:outlineLvl w:val="3"/>
    </w:pPr>
    <w:rPr>
      <w:rFonts w:eastAsia="ＭＳ 明朝;MS Mincho"/>
      <w:b/>
      <w:bCs/>
      <w:lang w:eastAsia="ja-JP"/>
    </w:rPr>
  </w:style>
  <w:style w:type="paragraph" w:styleId="Heading5">
    <w:name w:val="heading 5"/>
    <w:basedOn w:val="Normal"/>
    <w:next w:val="Normal"/>
    <w:qFormat/>
    <w:pPr>
      <w:keepNext w:val="true"/>
      <w:numPr>
        <w:ilvl w:val="4"/>
        <w:numId w:val="1"/>
      </w:numPr>
      <w:tabs>
        <w:tab w:val="clear" w:pos="720"/>
        <w:tab w:val="left" w:pos="960" w:leader="none"/>
      </w:tabs>
      <w:jc w:val="center"/>
      <w:outlineLvl w:val="4"/>
    </w:pPr>
    <w:rPr>
      <w:b/>
      <w:bCs/>
      <w:color w:val="FFFFFF"/>
      <w:lang w:eastAsia="ja-JP"/>
    </w:rPr>
  </w:style>
  <w:style w:type="paragraph" w:styleId="Heading6">
    <w:name w:val="heading 6"/>
    <w:basedOn w:val="Normal"/>
    <w:next w:val="Normal"/>
    <w:qFormat/>
    <w:pPr>
      <w:keepNext w:val="true"/>
      <w:numPr>
        <w:ilvl w:val="5"/>
        <w:numId w:val="1"/>
      </w:numPr>
      <w:ind w:hanging="0" w:start="360" w:end="0"/>
      <w:jc w:val="center"/>
      <w:outlineLvl w:val="5"/>
    </w:pPr>
    <w:rPr>
      <w:b/>
      <w:bCs/>
      <w:lang w:eastAsia="ja-JP"/>
    </w:rPr>
  </w:style>
  <w:style w:type="paragraph" w:styleId="Heading7">
    <w:name w:val="heading 7"/>
    <w:basedOn w:val="Normal"/>
    <w:next w:val="Normal"/>
    <w:qFormat/>
    <w:pPr>
      <w:keepNext w:val="true"/>
      <w:numPr>
        <w:ilvl w:val="6"/>
        <w:numId w:val="1"/>
      </w:numPr>
      <w:jc w:val="center"/>
      <w:outlineLvl w:val="6"/>
    </w:pPr>
    <w:rPr>
      <w:b/>
      <w:bCs/>
      <w:sz w:val="20"/>
      <w:lang w:eastAsia="ja-JP"/>
    </w:rPr>
  </w:style>
  <w:style w:type="paragraph" w:styleId="Heading8">
    <w:name w:val="heading 8"/>
    <w:basedOn w:val="Normal"/>
    <w:next w:val="Normal"/>
    <w:qFormat/>
    <w:pPr>
      <w:keepNext w:val="true"/>
      <w:numPr>
        <w:ilvl w:val="7"/>
        <w:numId w:val="1"/>
      </w:numPr>
      <w:ind w:hanging="0" w:start="720" w:end="0"/>
      <w:jc w:val="both"/>
      <w:outlineLvl w:val="7"/>
    </w:pPr>
    <w:rPr>
      <w:b/>
      <w:bCs/>
      <w:i/>
      <w:iCs/>
      <w:lang w:eastAsia="ja-JP"/>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eastAsia="ＭＳ 明朝;MS Mincho"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ＭＳ 明朝;MS Mincho"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eastAsia="ＭＳ 明朝;MS Mincho" w:cs="Aria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sz w:val="16"/>
    </w:rPr>
  </w:style>
  <w:style w:type="character" w:styleId="WW8Num6z3">
    <w:name w:val="WW8Num6z3"/>
    <w:qFormat/>
    <w:rPr>
      <w:rFonts w:ascii="Symbol" w:hAnsi="Symbol" w:cs="Symbol"/>
    </w:rPr>
  </w:style>
  <w:style w:type="character" w:styleId="WW8Num6z5">
    <w:name w:val="WW8Num6z5"/>
    <w:qFormat/>
    <w:rPr>
      <w:rFonts w:ascii="Times New Roman" w:hAnsi="Times New Roman" w:eastAsia="ＭＳ 明朝;MS Mincho" w:cs="Times New Roman"/>
    </w:rPr>
  </w:style>
  <w:style w:type="character" w:styleId="WW8Num6z8">
    <w:name w:val="WW8Num6z8"/>
    <w:qFormat/>
    <w:rPr>
      <w:rFonts w:ascii="Wingdings" w:hAnsi="Wingdings" w:cs="Wingdings"/>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5">
    <w:name w:val="WW8Num7z5"/>
    <w:qFormat/>
    <w:rPr>
      <w:rFonts w:ascii="Times New Roman" w:hAnsi="Times New Roman" w:eastAsia="ＭＳ 明朝;MS Mincho" w:cs="Times New Roman"/>
    </w:rPr>
  </w:style>
  <w:style w:type="character" w:styleId="WW8Num8z0">
    <w:name w:val="WW8Num8z0"/>
    <w:qFormat/>
    <w:rPr/>
  </w:style>
  <w:style w:type="character" w:styleId="WW8Num9z0">
    <w:name w:val="WW8Num9z0"/>
    <w:qFormat/>
    <w:rPr>
      <w:b/>
    </w:rPr>
  </w:style>
  <w:style w:type="character" w:styleId="WW8Num10z0">
    <w:name w:val="WW8Num10z0"/>
    <w:qFormat/>
    <w:rPr>
      <w:b/>
    </w:rPr>
  </w:style>
  <w:style w:type="character" w:styleId="WW8Num11z0">
    <w:name w:val="WW8Num11z0"/>
    <w:qFormat/>
    <w:rPr/>
  </w:style>
  <w:style w:type="character" w:styleId="WW8Num12z0">
    <w:name w:val="WW8Num12z0"/>
    <w:qFormat/>
    <w:rPr>
      <w:rFonts w:ascii="Symbol" w:hAnsi="Symbol" w:eastAsia="ＭＳ 明朝;MS Mincho" w:cs="Aria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5">
    <w:name w:val="WW8Num12z5"/>
    <w:qFormat/>
    <w:rPr>
      <w:rFonts w:ascii="Times New Roman" w:hAnsi="Times New Roman" w:eastAsia="ＭＳ 明朝;MS Mincho" w:cs="Times New Roman"/>
    </w:rPr>
  </w:style>
  <w:style w:type="character" w:styleId="WW8Num13z0">
    <w:name w:val="WW8Num13z0"/>
    <w:qFormat/>
    <w:rPr>
      <w:b/>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eastAsia="ＭＳ 明朝;MS Mincho"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16"/>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eastAsia="ＭＳ 明朝;MS Mincho"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sz w:val="16"/>
    </w:rPr>
  </w:style>
  <w:style w:type="character" w:styleId="WW8Num22z3">
    <w:name w:val="WW8Num22z3"/>
    <w:qFormat/>
    <w:rPr>
      <w:rFonts w:ascii="Symbol" w:hAnsi="Symbol" w:cs="Symbol"/>
    </w:rPr>
  </w:style>
  <w:style w:type="character" w:styleId="WW8Num22z5">
    <w:name w:val="WW8Num22z5"/>
    <w:qFormat/>
    <w:rPr>
      <w:rFonts w:ascii="Times New Roman" w:hAnsi="Times New Roman" w:eastAsia="ＭＳ 明朝;MS Mincho" w:cs="Times New Roman"/>
    </w:rPr>
  </w:style>
  <w:style w:type="character" w:styleId="WW8Num22z8">
    <w:name w:val="WW8Num22z8"/>
    <w:qFormat/>
    <w:rPr>
      <w:rFonts w:ascii="Wingdings" w:hAnsi="Wingdings" w:cs="Wingdings"/>
    </w:rPr>
  </w:style>
  <w:style w:type="character" w:styleId="WW8Num23z0">
    <w:name w:val="WW8Num23z0"/>
    <w:qFormat/>
    <w:rPr>
      <w:rFonts w:ascii="Wingdings" w:hAnsi="Wingdings" w:cs="Wingdings"/>
      <w:sz w:val="16"/>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eastAsia="ＭＳ 明朝;MS Mincho"/>
      <w:b/>
      <w:bCs/>
      <w:lang w:eastAsia="ja-JP"/>
    </w:rPr>
  </w:style>
  <w:style w:type="paragraph" w:styleId="BodyText">
    <w:name w:val="Body Text"/>
    <w:basedOn w:val="Normal"/>
    <w:pPr>
      <w:jc w:val="center"/>
    </w:pPr>
    <w:rPr>
      <w:rFonts w:eastAsia="ＭＳ 明朝;MS Mincho"/>
      <w:b/>
      <w:bCs/>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eastAsia="ＭＳ 明朝;MS Mincho"/>
      <w:sz w:val="28"/>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419" w:leader="none"/>
        <w:tab w:val="right" w:pos="8838" w:leader="none"/>
      </w:tabs>
    </w:pPr>
    <w:rPr/>
  </w:style>
  <w:style w:type="paragraph" w:styleId="Footer">
    <w:name w:val="footer"/>
    <w:basedOn w:val="Normal"/>
    <w:pPr>
      <w:tabs>
        <w:tab w:val="clear" w:pos="720"/>
        <w:tab w:val="center" w:pos="4419" w:leader="none"/>
        <w:tab w:val="right" w:pos="8838" w:leader="none"/>
      </w:tabs>
    </w:pPr>
    <w:rPr/>
  </w:style>
  <w:style w:type="paragraph" w:styleId="FootnoteText">
    <w:name w:val="footnote text"/>
    <w:basedOn w:val="Normal"/>
    <w:pPr/>
    <w:rPr>
      <w:sz w:val="16"/>
      <w:szCs w:val="20"/>
    </w:rPr>
  </w:style>
  <w:style w:type="paragraph" w:styleId="BodyTextIndent">
    <w:name w:val="Body Text Indent"/>
    <w:basedOn w:val="Normal"/>
    <w:pPr>
      <w:ind w:hanging="0" w:start="360" w:end="0"/>
      <w:jc w:val="both"/>
    </w:pPr>
    <w:rPr>
      <w:lang w:eastAsia="ja-JP"/>
    </w:rPr>
  </w:style>
  <w:style w:type="paragraph" w:styleId="BodyTextIndent2">
    <w:name w:val="Body Text Indent 2"/>
    <w:basedOn w:val="Normal"/>
    <w:qFormat/>
    <w:pPr>
      <w:ind w:hanging="0" w:start="720" w:end="0"/>
      <w:jc w:val="both"/>
    </w:pPr>
    <w:rPr>
      <w:lang w:eastAsia="ja-JP"/>
    </w:rPr>
  </w:style>
  <w:style w:type="paragraph" w:styleId="BodyText3">
    <w:name w:val="Body Text 3"/>
    <w:basedOn w:val="Normal"/>
    <w:qFormat/>
    <w:pPr/>
    <w:rPr>
      <w:b/>
      <w:bCs/>
      <w:lang w:eastAsia="ja-JP"/>
    </w:rPr>
  </w:style>
  <w:style w:type="paragraph" w:styleId="BodyTextIndent3">
    <w:name w:val="Body Text Indent 3"/>
    <w:basedOn w:val="Normal"/>
    <w:qFormat/>
    <w:pPr>
      <w:ind w:hanging="0" w:start="360" w:end="0"/>
      <w:jc w:val="both"/>
    </w:pPr>
    <w:rPr>
      <w:b/>
      <w:bCs/>
      <w:lang w:eastAsia="ja-JP"/>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2001-10-24T22:45:00Z</dcterms:created>
  <dc:creator>lhughes2</dc:creator>
  <dc:description/>
  <dc:language>en-CA</dc:language>
  <cp:lastModifiedBy>lhughes2</cp:lastModifiedBy>
  <cp:lastPrinted>2001-10-18T17:23:00Z</cp:lastPrinted>
  <dcterms:modified xsi:type="dcterms:W3CDTF">2001-10-24T23:42:00Z</dcterms:modified>
  <cp:revision>6</cp:revision>
  <dc:subject/>
  <dc:title>Political Report</dc:title>
</cp:coreProperties>
</file>