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r>
    </w:p>
    <w:p>
      <w:pPr>
        <w:pStyle w:val="Heading"/>
        <w:rPr>
          <w:sz w:val="24"/>
        </w:rPr>
      </w:pPr>
      <w:r>
        <w:rPr>
          <w:sz w:val="24"/>
        </w:rPr>
        <w:t>Japan Political Roundup</w:t>
      </w:r>
    </w:p>
    <w:p>
      <w:pPr>
        <w:pStyle w:val="Normal"/>
        <w:jc w:val="end"/>
        <w:rPr>
          <w:sz w:val="20"/>
          <w:lang w:eastAsia="ja-JP"/>
        </w:rPr>
      </w:pPr>
      <w:r>
        <w:rPr>
          <w:sz w:val="20"/>
          <w:lang w:eastAsia="ja-JP"/>
        </w:rPr>
        <w:t>July 3, 2001</w:t>
      </w:r>
    </w:p>
    <w:p>
      <w:pPr>
        <w:pStyle w:val="Normal"/>
        <w:rPr>
          <w:b/>
          <w:bCs/>
          <w:sz w:val="20"/>
          <w:lang w:eastAsia="ja-JP"/>
        </w:rPr>
      </w:pPr>
      <w:r>
        <w:rPr>
          <w:b/>
          <w:bCs/>
          <w:sz w:val="20"/>
          <w:lang w:eastAsia="ja-JP"/>
        </w:rPr>
      </w:r>
    </w:p>
    <w:p>
      <w:pPr>
        <w:pStyle w:val="Normal"/>
        <w:jc w:val="center"/>
        <w:rPr>
          <w:b/>
          <w:bCs/>
          <w:sz w:val="20"/>
          <w:lang w:val="en-US" w:eastAsia="ja-JP"/>
        </w:rPr>
      </w:pPr>
      <w:r>
        <w:rPr>
          <w:b/>
          <w:bCs/>
          <w:sz w:val="20"/>
          <w:lang w:val="en-US" w:eastAsia="ja-JP"/>
        </w:rPr>
        <mc:AlternateContent>
          <mc:Choice Requires="wps">
            <w:drawing>
              <wp:anchor behindDoc="1" distT="0" distB="0" distL="114935" distR="114935" simplePos="0" locked="0" layoutInCell="1" allowOverlap="1" relativeHeight="9">
                <wp:simplePos x="0" y="0"/>
                <wp:positionH relativeFrom="column">
                  <wp:posOffset>-381000</wp:posOffset>
                </wp:positionH>
                <wp:positionV relativeFrom="paragraph">
                  <wp:posOffset>142875</wp:posOffset>
                </wp:positionV>
                <wp:extent cx="5791200" cy="1143000"/>
                <wp:effectExtent l="5080" t="5080" r="5715" b="5715"/>
                <wp:wrapNone/>
                <wp:docPr id="1" name=""/>
                <a:graphic xmlns:a="http://schemas.openxmlformats.org/drawingml/2006/main">
                  <a:graphicData uri="http://schemas.microsoft.com/office/word/2010/wordprocessingShape">
                    <wps:wsp>
                      <wps:cNvSpPr/>
                      <wps:spPr>
                        <a:xfrm>
                          <a:off x="0" y="0"/>
                          <a:ext cx="5791320" cy="1143000"/>
                        </a:xfrm>
                        <a:prstGeom prst="roundRect">
                          <a:avLst>
                            <a:gd name="adj" fmla="val 16667"/>
                          </a:avLst>
                        </a:prstGeom>
                        <a:solidFill>
                          <a:srgbClr val="dddddd"/>
                        </a:solidFill>
                        <a:ln w="9360">
                          <a:solidFill>
                            <a:srgbClr val="000000"/>
                          </a:solidFill>
                          <a:miter/>
                        </a:ln>
                      </wps:spPr>
                      <wps:style>
                        <a:lnRef idx="0"/>
                        <a:fillRef idx="0"/>
                        <a:effectRef idx="0"/>
                        <a:fontRef idx="minor"/>
                      </wps:style>
                      <wps:bodyPr/>
                    </wps:wsp>
                  </a:graphicData>
                </a:graphic>
              </wp:anchor>
            </w:drawing>
          </mc:Choice>
          <mc:Fallback>
            <w:pict>
              <v:roundrect id="shape_0" fillcolor="#dddddd" stroked="t" o:allowincell="f" style="position:absolute;margin-left:-30pt;margin-top:11.25pt;width:455.95pt;height:89.95pt;mso-wrap-style:none;v-text-anchor:middle">
                <v:fill o:detectmouseclick="t" type="solid" color2="#222222"/>
                <v:stroke color="black" weight="9360" joinstyle="miter" endcap="flat"/>
                <w10:wrap type="none"/>
              </v:roundrect>
            </w:pict>
          </mc:Fallback>
        </mc:AlternateContent>
      </w:r>
    </w:p>
    <w:p>
      <w:pPr>
        <w:pStyle w:val="Heading1"/>
        <w:ind w:hanging="0" w:start="0"/>
        <w:rPr>
          <w:b w:val="false"/>
          <w:bCs w:val="false"/>
          <w:lang w:eastAsia="ja-JP"/>
        </w:rPr>
      </w:pPr>
      <w:r>
        <w:rPr>
          <w:b w:val="false"/>
          <w:bCs w:val="false"/>
          <w:lang w:eastAsia="ja-JP"/>
        </w:rPr>
      </w:r>
    </w:p>
    <w:p>
      <w:pPr>
        <w:pStyle w:val="Heading1"/>
        <w:ind w:hanging="0" w:start="0"/>
        <w:rPr/>
      </w:pPr>
      <w:r>
        <w:rPr/>
        <w:t>Summary</w:t>
      </w:r>
    </w:p>
    <w:p>
      <w:pPr>
        <w:pStyle w:val="Normal"/>
        <w:jc w:val="center"/>
        <w:rPr>
          <w:lang w:eastAsia="ja-JP"/>
        </w:rPr>
      </w:pPr>
      <w:r>
        <w:rPr>
          <w:lang w:eastAsia="ja-JP"/>
        </w:rPr>
      </w:r>
    </w:p>
    <w:p>
      <w:pPr>
        <w:pStyle w:val="Normal"/>
        <w:numPr>
          <w:ilvl w:val="0"/>
          <w:numId w:val="2"/>
        </w:numPr>
        <w:tabs>
          <w:tab w:val="clear" w:pos="720"/>
          <w:tab w:val="left" w:pos="360" w:leader="none"/>
        </w:tabs>
        <w:ind w:hanging="0" w:start="120" w:end="-331"/>
        <w:rPr>
          <w:b/>
          <w:bCs/>
          <w:lang w:eastAsia="ja-JP"/>
        </w:rPr>
      </w:pPr>
      <w:r>
        <w:rPr>
          <w:b/>
          <w:bCs/>
          <w:lang w:eastAsia="ja-JP"/>
        </w:rPr>
        <w:t>US-Japan Bilateral Summit</w:t>
      </w:r>
    </w:p>
    <w:p>
      <w:pPr>
        <w:pStyle w:val="Normal"/>
        <w:numPr>
          <w:ilvl w:val="0"/>
          <w:numId w:val="2"/>
        </w:numPr>
        <w:tabs>
          <w:tab w:val="clear" w:pos="720"/>
          <w:tab w:val="left" w:pos="360" w:leader="none"/>
        </w:tabs>
        <w:ind w:hanging="0" w:start="120" w:end="0"/>
        <w:rPr>
          <w:b/>
          <w:bCs/>
          <w:lang w:eastAsia="ja-JP"/>
        </w:rPr>
      </w:pPr>
      <w:r>
        <w:rPr>
          <w:b/>
          <w:bCs/>
          <w:lang w:eastAsia="ja-JP"/>
        </w:rPr>
        <w:t>LDP Success in Tokyo Election Augurs Well for Reform Agenda</w:t>
      </w:r>
    </w:p>
    <w:p>
      <w:pPr>
        <w:pStyle w:val="Normal"/>
        <w:rPr>
          <w:b/>
          <w:bCs/>
          <w:lang w:eastAsia="ja-JP"/>
        </w:rPr>
      </w:pPr>
      <w:r>
        <w:rPr>
          <w:b/>
          <w:bCs/>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ind w:start="360" w:end="0"/>
        <w:rPr>
          <w:lang w:eastAsia="ja-JP"/>
        </w:rPr>
      </w:pPr>
      <w:r>
        <w:rPr>
          <w:lang w:eastAsia="ja-JP"/>
        </w:rPr>
      </w:r>
    </w:p>
    <w:p>
      <w:pPr>
        <w:pStyle w:val="Header"/>
        <w:tabs>
          <w:tab w:val="clear" w:pos="4419"/>
          <w:tab w:val="clear" w:pos="8838"/>
        </w:tabs>
        <w:jc w:val="both"/>
        <w:rPr>
          <w:b/>
          <w:bCs/>
          <w:lang w:eastAsia="ja-JP"/>
        </w:rPr>
      </w:pPr>
      <w:r>
        <w:rPr>
          <w:b/>
          <w:bCs/>
          <w:lang w:eastAsia="ja-JP"/>
        </w:rPr>
        <w:t>1) US-Japan Bilateral Summit</w:t>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pPr>
      <w:r>
        <w:rPr>
          <w:lang w:eastAsia="ja-JP"/>
        </w:rPr>
        <w:t>President Bush and Prime Minister Koizumi held a bilateral summit on June 30</w:t>
      </w:r>
      <w:r>
        <w:rPr>
          <w:vertAlign w:val="superscript"/>
          <w:lang w:eastAsia="ja-JP"/>
        </w:rPr>
        <w:t>th</w:t>
      </w:r>
      <w:r>
        <w:rPr>
          <w:lang w:eastAsia="ja-JP"/>
        </w:rPr>
        <w:t xml:space="preserve"> at Camp David. Agreements reached between the two countries have the potential to impact energy deregulation in Japan, and energy policy in a </w:t>
      </w:r>
      <w:r>
        <w:rPr>
          <w:lang w:eastAsia="ja-JP"/>
        </w:rPr>
        <w:t>broader</w:t>
      </w:r>
      <w:r>
        <w:rPr>
          <w:lang w:eastAsia="ja-JP"/>
        </w:rPr>
        <w:t xml:space="preserve"> sense.</w:t>
      </w:r>
    </w:p>
    <w:p>
      <w:pPr>
        <w:pStyle w:val="Header"/>
        <w:tabs>
          <w:tab w:val="clear" w:pos="4419"/>
          <w:tab w:val="clear" w:pos="8838"/>
        </w:tabs>
        <w:jc w:val="both"/>
        <w:rPr>
          <w:lang w:eastAsia="ja-JP"/>
        </w:rPr>
      </w:pPr>
      <w:r>
        <w:rPr>
          <w:lang w:eastAsia="ja-JP"/>
        </w:rPr>
      </w:r>
    </w:p>
    <w:p>
      <w:pPr>
        <w:pStyle w:val="Header"/>
        <w:numPr>
          <w:ilvl w:val="0"/>
          <w:numId w:val="2"/>
        </w:numPr>
        <w:tabs>
          <w:tab w:val="clear" w:pos="4419"/>
          <w:tab w:val="clear" w:pos="8838"/>
        </w:tabs>
        <w:jc w:val="both"/>
        <w:rPr>
          <w:lang w:eastAsia="ja-JP"/>
        </w:rPr>
      </w:pPr>
      <w:r>
        <w:rPr>
          <w:lang w:eastAsia="ja-JP"/>
        </w:rPr>
        <w:t>Although urging President Bush to ratify the Kyoto Protocol, PM Koizumi expressed his understanding for the Bush Administration</w:t>
      </w:r>
      <w:r>
        <w:rPr>
          <w:lang w:eastAsia="ja-JP"/>
        </w:rPr>
        <w:t>’</w:t>
      </w:r>
      <w:r>
        <w:rPr>
          <w:lang w:eastAsia="ja-JP"/>
        </w:rPr>
        <w:t xml:space="preserve">s decision not to push for ratification, and stated that </w:t>
      </w:r>
      <w:r>
        <w:rPr>
          <w:lang w:eastAsia="ja-JP"/>
        </w:rPr>
        <w:t>“</w:t>
      </w:r>
      <w:r>
        <w:rPr>
          <w:lang w:eastAsia="ja-JP"/>
        </w:rPr>
        <w:t xml:space="preserve">there will be no progress on </w:t>
      </w:r>
      <w:r>
        <w:rPr>
          <w:lang w:eastAsia="ja-JP"/>
        </w:rPr>
        <w:t>the</w:t>
      </w:r>
      <w:r>
        <w:rPr>
          <w:lang w:eastAsia="ja-JP"/>
        </w:rPr>
        <w:t xml:space="preserve"> climate change issue without the cooperation of the US.</w:t>
      </w:r>
      <w:r>
        <w:rPr>
          <w:lang w:eastAsia="ja-JP"/>
        </w:rPr>
        <w:t>”</w:t>
      </w:r>
      <w:r>
        <w:rPr>
          <w:rStyle w:val="FootnoteCharacters"/>
          <w:rStyle w:val="FootnoteReference"/>
          <w:lang w:eastAsia="ja-JP"/>
        </w:rPr>
        <w:footnoteReference w:id="2"/>
      </w:r>
      <w:r>
        <w:rPr>
          <w:lang w:eastAsia="ja-JP"/>
        </w:rPr>
        <w:t xml:space="preserve"> </w:t>
      </w:r>
    </w:p>
    <w:p>
      <w:pPr>
        <w:pStyle w:val="Header"/>
        <w:tabs>
          <w:tab w:val="clear" w:pos="4419"/>
          <w:tab w:val="clear" w:pos="8838"/>
        </w:tabs>
        <w:ind w:start="720" w:end="0"/>
        <w:jc w:val="both"/>
        <w:rPr>
          <w:lang w:eastAsia="ja-JP"/>
        </w:rPr>
      </w:pPr>
      <w:r>
        <w:rPr>
          <w:lang w:eastAsia="ja-JP"/>
        </w:rPr>
      </w:r>
    </w:p>
    <w:p>
      <w:pPr>
        <w:pStyle w:val="Header"/>
        <w:tabs>
          <w:tab w:val="clear" w:pos="4419"/>
          <w:tab w:val="clear" w:pos="8838"/>
        </w:tabs>
        <w:ind w:start="720" w:end="0"/>
        <w:jc w:val="both"/>
        <w:rPr/>
      </w:pPr>
      <w:r>
        <w:rPr>
          <w:lang w:eastAsia="ja-JP"/>
        </w:rPr>
        <w:t xml:space="preserve">Some </w:t>
      </w:r>
      <w:r>
        <w:rPr>
          <w:lang w:eastAsia="ja-JP"/>
        </w:rPr>
        <w:t>voices</w:t>
      </w:r>
      <w:r>
        <w:rPr>
          <w:lang w:eastAsia="ja-JP"/>
        </w:rPr>
        <w:t xml:space="preserve"> have interpreted this to mean that the Japanese government has changed its position to one of support for the Bush Administration</w:t>
      </w:r>
      <w:r>
        <w:rPr>
          <w:lang w:eastAsia="ja-JP"/>
        </w:rPr>
        <w:t>’</w:t>
      </w:r>
      <w:r>
        <w:rPr>
          <w:lang w:eastAsia="ja-JP"/>
        </w:rPr>
        <w:t xml:space="preserve">s policy. It remains to be seen, however, whether Koizumi is attempting to align Japanese </w:t>
      </w:r>
      <w:r>
        <w:rPr>
          <w:lang w:eastAsia="ja-JP"/>
        </w:rPr>
        <w:t>policy</w:t>
      </w:r>
      <w:r>
        <w:rPr>
          <w:lang w:eastAsia="ja-JP"/>
        </w:rPr>
        <w:t xml:space="preserve"> with that of the US government, and if he is, whether he is able to do so in the face of strong public and media support for the Kyoto Protocol within Japan.</w:t>
      </w:r>
    </w:p>
    <w:p>
      <w:pPr>
        <w:pStyle w:val="Header"/>
        <w:tabs>
          <w:tab w:val="clear" w:pos="4419"/>
          <w:tab w:val="clear" w:pos="8838"/>
        </w:tabs>
        <w:ind w:start="720" w:end="0"/>
        <w:jc w:val="both"/>
        <w:rPr>
          <w:lang w:eastAsia="ja-JP"/>
        </w:rPr>
      </w:pPr>
      <w:r>
        <w:rPr>
          <w:lang w:eastAsia="ja-JP"/>
        </w:rPr>
      </w:r>
    </w:p>
    <w:p>
      <w:pPr>
        <w:pStyle w:val="Header"/>
        <w:tabs>
          <w:tab w:val="clear" w:pos="4419"/>
          <w:tab w:val="clear" w:pos="8838"/>
        </w:tabs>
        <w:ind w:start="720" w:end="0"/>
        <w:jc w:val="both"/>
        <w:rPr>
          <w:lang w:eastAsia="ja-JP"/>
        </w:rPr>
      </w:pPr>
      <w:r>
        <w:rPr>
          <w:lang w:eastAsia="ja-JP"/>
        </w:rPr>
        <w:t>The position the Japanese government takes regarding the Kyoto Protocol is set to become the key to the direction debate takes over an emissions control regime.</w:t>
      </w:r>
    </w:p>
    <w:p>
      <w:pPr>
        <w:pStyle w:val="Header"/>
        <w:tabs>
          <w:tab w:val="clear" w:pos="4419"/>
          <w:tab w:val="clear" w:pos="8838"/>
        </w:tabs>
        <w:ind w:start="720" w:end="0"/>
        <w:jc w:val="both"/>
        <w:rPr>
          <w:lang w:eastAsia="ja-JP"/>
        </w:rPr>
      </w:pPr>
      <w:r>
        <w:rPr>
          <w:lang w:eastAsia="ja-JP"/>
        </w:rPr>
      </w:r>
    </w:p>
    <w:p>
      <w:pPr>
        <w:pStyle w:val="Header"/>
        <w:numPr>
          <w:ilvl w:val="0"/>
          <w:numId w:val="2"/>
        </w:numPr>
        <w:tabs>
          <w:tab w:val="clear" w:pos="4419"/>
          <w:tab w:val="clear" w:pos="8838"/>
        </w:tabs>
        <w:jc w:val="both"/>
        <w:rPr>
          <w:lang w:eastAsia="ja-JP"/>
        </w:rPr>
      </w:pPr>
      <w:r>
        <w:rPr>
          <w:lang w:eastAsia="ja-JP"/>
        </w:rPr>
        <w:t>Agreement was reached on a structure to discuss bilateral economic and security issues, as outlined in the previous report (June 20, 2001). The final structure was agreed to as outlined overleaf:</w:t>
      </w:r>
    </w:p>
    <w:p>
      <w:pPr>
        <w:pStyle w:val="Header"/>
        <w:tabs>
          <w:tab w:val="clear" w:pos="4419"/>
          <w:tab w:val="clear" w:pos="8838"/>
        </w:tabs>
        <w:ind w:start="360" w:end="0"/>
        <w:jc w:val="both"/>
        <w:rPr>
          <w:lang w:eastAsia="ja-JP"/>
        </w:rPr>
      </w:pPr>
      <w:r>
        <w:rPr>
          <w:lang w:eastAsia="ja-JP"/>
        </w:rPr>
      </w:r>
      <w:r>
        <w:br w:type="page"/>
      </w:r>
    </w:p>
    <w:p>
      <w:pPr>
        <w:pStyle w:val="Header"/>
        <w:tabs>
          <w:tab w:val="clear" w:pos="4419"/>
          <w:tab w:val="clear" w:pos="8838"/>
        </w:tabs>
        <w:ind w:start="360" w:end="0"/>
        <w:jc w:val="both"/>
        <w:rPr>
          <w:lang w:eastAsia="ja-JP"/>
        </w:rPr>
      </w:pPr>
      <w:r>
        <w:rPr>
          <w:lang w:eastAsia="ja-JP"/>
        </w:rPr>
      </w:r>
    </w:p>
    <w:p>
      <w:pPr>
        <w:pStyle w:val="Header"/>
        <w:tabs>
          <w:tab w:val="clear" w:pos="4419"/>
          <w:tab w:val="clear" w:pos="8838"/>
        </w:tabs>
        <w:jc w:val="both"/>
        <w:rPr>
          <w:sz w:val="20"/>
          <w:lang w:val="en-US" w:eastAsia="ja-JP"/>
        </w:rPr>
      </w:pPr>
      <w:r>
        <w:rPr>
          <w:sz w:val="20"/>
          <w:lang w:val="en-US" w:eastAsia="ja-JP"/>
        </w:rPr>
        <mc:AlternateContent>
          <mc:Choice Requires="wpg">
            <w:drawing>
              <wp:anchor behindDoc="0" distT="0" distB="0" distL="114935" distR="114935" simplePos="0" locked="0" layoutInCell="1" allowOverlap="1" relativeHeight="11">
                <wp:simplePos x="0" y="0"/>
                <wp:positionH relativeFrom="column">
                  <wp:posOffset>-381000</wp:posOffset>
                </wp:positionH>
                <wp:positionV relativeFrom="paragraph">
                  <wp:posOffset>67945</wp:posOffset>
                </wp:positionV>
                <wp:extent cx="6248400" cy="3314700"/>
                <wp:effectExtent l="5080" t="5080" r="5715" b="0"/>
                <wp:wrapNone/>
                <wp:docPr id="2" name=""/>
                <a:graphic xmlns:a="http://schemas.openxmlformats.org/drawingml/2006/main">
                  <a:graphicData uri="http://schemas.microsoft.com/office/word/2010/wordprocessingGroup">
                    <wpg:wgp>
                      <wpg:cNvGrpSpPr/>
                      <wpg:grpSpPr>
                        <a:xfrm>
                          <a:off x="0" y="0"/>
                          <a:ext cx="6248520" cy="3314880"/>
                          <a:chOff x="0" y="0"/>
                          <a:chExt cx="6248520" cy="3314880"/>
                        </a:xfrm>
                      </wpg:grpSpPr>
                      <wps:wsp>
                        <wps:cNvPr id="3" name=""/>
                        <wps:cNvSpPr/>
                        <wps:spPr>
                          <a:xfrm>
                            <a:off x="0" y="0"/>
                            <a:ext cx="6248520" cy="320040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wps:wsp>
                        <wps:cNvSpPr txBox="1"/>
                        <wps:spPr>
                          <a:xfrm>
                            <a:off x="0" y="114480"/>
                            <a:ext cx="6172200" cy="343080"/>
                          </a:xfrm>
                          <a:prstGeom prst="rect">
                            <a:avLst/>
                          </a:prstGeom>
                          <a:noFill/>
                          <a:ln w="0">
                            <a:noFill/>
                          </a:ln>
                        </wps:spPr>
                        <wps:txbx>
                          <w:txbxContent>
                            <w:p>
                              <w:pPr>
                                <w:overflowPunct w:val="false"/>
                                <w:bidi w:val="0"/>
                                <w:jc w:val="center"/>
                                <w:rPr/>
                              </w:pPr>
                              <w:r>
                                <w:rPr>
                                  <w:kern w:val="2"/>
                                  <w:sz w:val="22"/>
                                  <w:b/>
                                  <w:szCs w:val="24"/>
                                  <w:bCs/>
                                  <w:rFonts w:ascii="Arial" w:hAnsi="Arial" w:eastAsia="ＭＳ 明朝;MS Mincho" w:cs="Arial"/>
                                  <w:color w:val="auto"/>
                                  <w:lang w:val="en-GB" w:eastAsia="ja-JP" w:bidi="ar-SA"/>
                                </w:rPr>
                                <w:t>US-Japan Bilateral Summit</w:t>
                              </w:r>
                            </w:p>
                          </w:txbxContent>
                        </wps:txbx>
                        <wps:bodyPr wrap="square" anchor="t">
                          <a:noAutofit/>
                        </wps:bodyPr>
                      </wps:wsp>
                      <wps:wsp>
                        <wps:cNvSpPr txBox="1"/>
                        <wps:spPr>
                          <a:xfrm>
                            <a:off x="304920" y="457200"/>
                            <a:ext cx="5791320" cy="800280"/>
                          </a:xfrm>
                          <a:prstGeom prst="rect">
                            <a:avLst/>
                          </a:prstGeom>
                          <a:solidFill>
                            <a:srgbClr val="ffffff"/>
                          </a:solidFill>
                          <a:ln w="0">
                            <a:noFill/>
                          </a:ln>
                        </wps:spPr>
                        <wps:txbx>
                          <w:txbxContent>
                            <w:p>
                              <w:pPr>
                                <w:overflowPunct w:val="false"/>
                                <w:bidi w:val="0"/>
                                <w:rPr/>
                              </w:pPr>
                              <w:r>
                                <w:rPr>
                                  <w:kern w:val="2"/>
                                  <w:sz w:val="22"/>
                                  <w:szCs w:val="24"/>
                                  <w:rFonts w:ascii="Arial" w:hAnsi="Arial" w:eastAsia="ＭＳ 明朝;MS Mincho" w:cs="Arial"/>
                                  <w:color w:val="auto"/>
                                  <w:lang w:val="en-GB" w:eastAsia="ja-JP" w:bidi="ar-SA"/>
                                </w:rPr>
                                <w:t>Vice Ministerial Conference (held at least once per year)</w:t>
                              </w:r>
                            </w:p>
                            <w:p>
                              <w:pPr>
                                <w:overflowPunct w:val="false"/>
                                <w:bidi w:val="0"/>
                                <w:rPr/>
                              </w:pPr>
                              <w:r>
                                <w:rPr>
                                  <w:kern w:val="2"/>
                                  <w:sz w:val="22"/>
                                  <w:szCs w:val="24"/>
                                  <w:rFonts w:ascii="Arial" w:hAnsi="Arial" w:eastAsia="ＭＳ 明朝;MS Mincho" w:cs="Arial"/>
                                  <w:color w:val="auto"/>
                                  <w:lang w:val="en-GB" w:eastAsia="ja-JP" w:bidi="ar-SA"/>
                                </w:rPr>
                                <w:t>Discusses bilateral/multilateral issues</w:t>
                              </w:r>
                            </w:p>
                            <w:p>
                              <w:pPr>
                                <w:overflowPunct w:val="false"/>
                                <w:bidi w:val="0"/>
                                <w:rPr/>
                              </w:pPr>
                              <w:r>
                                <w:rPr>
                                  <w:kern w:val="2"/>
                                  <w:sz w:val="22"/>
                                  <w:szCs w:val="24"/>
                                  <w:rFonts w:ascii="Arial" w:hAnsi="Arial" w:eastAsia="ＭＳ 明朝;MS Mincho" w:cs="Arial"/>
                                  <w:color w:val="auto"/>
                                  <w:lang w:val="en-GB" w:eastAsia="ja-JP" w:bidi="ar-SA"/>
                                </w:rPr>
                                <w:t>Major economic ministries, departments participate (Treasury, State Dept., White House, Commerce Dept. [US], Cabinet Office, MoFA, MoF, METI [Japan])</w:t>
                              </w:r>
                            </w:p>
                          </w:txbxContent>
                        </wps:txbx>
                        <wps:bodyPr wrap="square" anchor="t">
                          <a:noAutofit/>
                        </wps:bodyPr>
                      </wps:wsp>
                      <wps:wsp>
                        <wps:cNvSpPr txBox="1"/>
                        <wps:spPr>
                          <a:xfrm>
                            <a:off x="304920" y="2171880"/>
                            <a:ext cx="5638680" cy="1143000"/>
                          </a:xfrm>
                          <a:prstGeom prst="rect">
                            <a:avLst/>
                          </a:prstGeom>
                          <a:noFill/>
                          <a:ln w="0">
                            <a:noFill/>
                          </a:ln>
                        </wps:spPr>
                        <wps:txbx>
                          <w:txbxContent>
                            <w:p>
                              <w:pPr>
                                <w:overflowPunct w:val="false"/>
                                <w:bidi w:val="0"/>
                                <w:rPr/>
                              </w:pPr>
                              <w:r>
                                <w:rPr>
                                  <w:kern w:val="2"/>
                                  <w:sz w:val="22"/>
                                  <w:szCs w:val="24"/>
                                  <w:rFonts w:ascii="Arial" w:hAnsi="Arial" w:eastAsia="ＭＳ 明朝;MS Mincho" w:cs="Arial"/>
                                  <w:color w:val="auto"/>
                                  <w:lang w:val="en-GB" w:eastAsia="ja-JP" w:bidi="ar-SA"/>
                                </w:rPr>
                                <w:t>Sectoral Discussions (bilateral meeting held once per year)</w:t>
                              </w:r>
                            </w:p>
                            <w:p>
                              <w:pPr>
                                <w:overflowPunct w:val="false"/>
                                <w:bidi w:val="0"/>
                                <w:rPr/>
                              </w:pPr>
                              <w:r>
                                <w:rPr>
                                  <w:kern w:val="2"/>
                                  <w:sz w:val="22"/>
                                  <w:szCs w:val="24"/>
                                  <w:rFonts w:ascii="Arial" w:hAnsi="Arial" w:eastAsia="ＭＳ 明朝;MS Mincho" w:cs="Arial"/>
                                  <w:color w:val="auto"/>
                                  <w:lang w:val="en-GB" w:eastAsia="ja-JP" w:bidi="ar-SA"/>
                                </w:rPr>
                                <w:t>Finance…………………………………………………………..non-performing loans</w:t>
                              </w:r>
                            </w:p>
                            <w:p>
                              <w:pPr>
                                <w:overflowPunct w:val="false"/>
                                <w:bidi w:val="0"/>
                                <w:rPr/>
                              </w:pPr>
                              <w:r>
                                <w:rPr>
                                  <w:kern w:val="2"/>
                                  <w:sz w:val="22"/>
                                  <w:szCs w:val="24"/>
                                  <w:rFonts w:ascii="Arial" w:hAnsi="Arial" w:eastAsia="ＭＳ 明朝;MS Mincho" w:cs="Arial"/>
                                  <w:color w:val="auto"/>
                                  <w:lang w:val="en-GB" w:eastAsia="ja-JP" w:bidi="ar-SA"/>
                                </w:rPr>
                                <w:t>Investment………………………………………………….…increasing FDI in Japan</w:t>
                              </w:r>
                            </w:p>
                            <w:p>
                              <w:pPr>
                                <w:overflowPunct w:val="false"/>
                                <w:bidi w:val="0"/>
                                <w:rPr/>
                              </w:pPr>
                              <w:r>
                                <w:rPr>
                                  <w:kern w:val="2"/>
                                  <w:sz w:val="22"/>
                                  <w:szCs w:val="24"/>
                                  <w:rFonts w:ascii="Arial" w:hAnsi="Arial" w:eastAsia="ＭＳ 明朝;MS Mincho" w:cs="Arial"/>
                                  <w:color w:val="auto"/>
                                  <w:lang w:val="en-GB" w:eastAsia="ja-JP" w:bidi="ar-SA"/>
                                </w:rPr>
                                <w:t>Trade……………………………………………………….promote free trade policies</w:t>
                              </w:r>
                            </w:p>
                            <w:p>
                              <w:pPr>
                                <w:overflowPunct w:val="false"/>
                                <w:bidi w:val="0"/>
                                <w:rPr/>
                              </w:pPr>
                              <w:r>
                                <w:rPr>
                                  <w:kern w:val="2"/>
                                  <w:sz w:val="22"/>
                                  <w:b/>
                                  <w:i/>
                                  <w:szCs w:val="24"/>
                                  <w:bCs/>
                                  <w:iCs/>
                                  <w:rFonts w:ascii="Arial" w:hAnsi="Arial" w:eastAsia="ＭＳ 明朝;MS Mincho" w:cs="Arial"/>
                                  <w:color w:val="auto"/>
                                  <w:lang w:val="en-GB" w:eastAsia="ja-JP" w:bidi="ar-SA"/>
                                </w:rPr>
                                <w:t>Deregulation…………………..…… energy , telecoms, IT, medical equipment</w:t>
                              </w:r>
                            </w:p>
                          </w:txbxContent>
                        </wps:txbx>
                        <wps:bodyPr wrap="square" anchor="t">
                          <a:noAutofit/>
                        </wps:bodyPr>
                      </wps:wsp>
                      <wps:wsp>
                        <wps:cNvSpPr txBox="1"/>
                        <wps:spPr>
                          <a:xfrm>
                            <a:off x="304920" y="1371600"/>
                            <a:ext cx="5791320" cy="685800"/>
                          </a:xfrm>
                          <a:prstGeom prst="rect">
                            <a:avLst/>
                          </a:prstGeom>
                          <a:solidFill>
                            <a:srgbClr val="ffffff"/>
                          </a:solidFill>
                          <a:ln w="0">
                            <a:noFill/>
                          </a:ln>
                        </wps:spPr>
                        <wps:txbx>
                          <w:txbxContent>
                            <w:p>
                              <w:pPr>
                                <w:overflowPunct w:val="false"/>
                                <w:bidi w:val="0"/>
                                <w:rPr/>
                              </w:pPr>
                              <w:r>
                                <w:rPr>
                                  <w:kern w:val="2"/>
                                  <w:sz w:val="22"/>
                                  <w:szCs w:val="24"/>
                                  <w:rFonts w:ascii="Arial" w:hAnsi="Arial" w:eastAsia="ＭＳ 明朝;MS Mincho" w:cs="Arial"/>
                                  <w:color w:val="auto"/>
                                  <w:lang w:val="en-GB" w:eastAsia="ja-JP" w:bidi="ar-SA"/>
                                </w:rPr>
                                <w:t>Ministry/Private Sector Roundtable (held before vice ministerial conference)</w:t>
                              </w:r>
                            </w:p>
                            <w:p>
                              <w:pPr>
                                <w:overflowPunct w:val="false"/>
                                <w:bidi w:val="0"/>
                                <w:rPr/>
                              </w:pPr>
                              <w:r>
                                <w:rPr>
                                  <w:kern w:val="2"/>
                                  <w:sz w:val="22"/>
                                  <w:szCs w:val="24"/>
                                  <w:rFonts w:ascii="Arial" w:hAnsi="Arial" w:eastAsia="ＭＳ 明朝;MS Mincho" w:cs="Arial"/>
                                  <w:color w:val="auto"/>
                                  <w:lang w:val="en-GB" w:eastAsia="ja-JP" w:bidi="ar-SA"/>
                                </w:rPr>
                                <w:t>Participated in by vice ministerial conference members and private sector representatives</w:t>
                              </w:r>
                            </w:p>
                            <w:p>
                              <w:pPr>
                                <w:overflowPunct w:val="false"/>
                                <w:bidi w:val="0"/>
                                <w:ind w:start="360" w:end="0" w:hanging="0"/>
                                <w:rPr/>
                              </w:pPr>
                              <w:r>
                                <w:rPr>
                                  <w:kern w:val="2"/>
                                  <w:sz w:val="24"/>
                                  <w:rFonts w:cs="NotoSans NF" w:eastAsia="Liberation Sans" w:ascii="Liberation Serif" w:hAnsi="Liberation Serif"/>
                                  <w:lang w:bidi="hi-IN" w:val="en-CA"/>
                                </w:rPr>
                              </w:r>
                            </w:p>
                          </w:txbxContent>
                        </wps:txbx>
                        <wps:bodyPr wrap="square" anchor="t">
                          <a:noAutofit/>
                        </wps:bodyPr>
                      </wps:wsp>
                    </wpg:wgp>
                  </a:graphicData>
                </a:graphic>
              </wp:anchor>
            </w:drawing>
          </mc:Choice>
          <mc:Fallback>
            <w:pict>
              <v:group id="shape_0" style="position:absolute;margin-left:-30pt;margin-top:5.35pt;width:492pt;height:261pt" coordorigin="-600,107" coordsize="9840,5220">
                <v:roundrect id="shape_0" fillcolor="white" stroked="t" o:allowincell="f" style="position:absolute;left:-600;top:107;width:9839;height:5039;mso-wrap-style:none;v-text-anchor:middle">
                  <v:fill o:detectmouseclick="t" type="solid" color2="black"/>
                  <v:stroke color="black" weight="9360" joinstyle="miter" endcap="flat"/>
                  <w10:wrap type="none"/>
                </v:roundrect>
                <v:shapetype id="_x0000_t202" coordsize="21600,21600" o:spt="202" path="m,l,21600l21600,21600l21600,xe">
                  <v:stroke joinstyle="miter"/>
                  <v:path gradientshapeok="t" o:connecttype="rect"/>
                </v:shapetype>
                <v:shape id="shape_0" stroked="f" o:allowincell="f" style="position:absolute;left:-600;top:287;width:9719;height:539;mso-wrap-style:square;v-text-anchor:top" type="_x0000_t202">
                  <v:textbox>
                    <w:txbxContent>
                      <w:p>
                        <w:pPr>
                          <w:overflowPunct w:val="false"/>
                          <w:bidi w:val="0"/>
                          <w:jc w:val="center"/>
                          <w:rPr/>
                        </w:pPr>
                        <w:r>
                          <w:rPr>
                            <w:kern w:val="2"/>
                            <w:sz w:val="22"/>
                            <w:b/>
                            <w:szCs w:val="24"/>
                            <w:bCs/>
                            <w:rFonts w:ascii="Arial" w:hAnsi="Arial" w:eastAsia="ＭＳ 明朝;MS Mincho" w:cs="Arial"/>
                            <w:color w:val="auto"/>
                            <w:lang w:val="en-GB" w:eastAsia="ja-JP" w:bidi="ar-SA"/>
                          </w:rPr>
                          <w:t>US-Japan Bilateral Summit</w:t>
                        </w:r>
                      </w:p>
                    </w:txbxContent>
                  </v:textbox>
                  <v:fill o:detectmouseclick="t" on="false"/>
                  <v:stroke color="#3465a4" joinstyle="round" endcap="flat"/>
                  <w10:wrap type="none"/>
                </v:shape>
                <v:shape id="shape_0" fillcolor="white" stroked="f" o:allowincell="f" style="position:absolute;left:-120;top:827;width:9119;height:1259;mso-wrap-style:square;v-text-anchor:top" type="_x0000_t202">
                  <v:textbox>
                    <w:txbxContent>
                      <w:p>
                        <w:pPr>
                          <w:overflowPunct w:val="false"/>
                          <w:bidi w:val="0"/>
                          <w:rPr/>
                        </w:pPr>
                        <w:r>
                          <w:rPr>
                            <w:kern w:val="2"/>
                            <w:sz w:val="22"/>
                            <w:szCs w:val="24"/>
                            <w:rFonts w:ascii="Arial" w:hAnsi="Arial" w:eastAsia="ＭＳ 明朝;MS Mincho" w:cs="Arial"/>
                            <w:color w:val="auto"/>
                            <w:lang w:val="en-GB" w:eastAsia="ja-JP" w:bidi="ar-SA"/>
                          </w:rPr>
                          <w:t>Vice Ministerial Conference (held at least once per year)</w:t>
                        </w:r>
                      </w:p>
                      <w:p>
                        <w:pPr>
                          <w:overflowPunct w:val="false"/>
                          <w:bidi w:val="0"/>
                          <w:rPr/>
                        </w:pPr>
                        <w:r>
                          <w:rPr>
                            <w:kern w:val="2"/>
                            <w:sz w:val="22"/>
                            <w:szCs w:val="24"/>
                            <w:rFonts w:ascii="Arial" w:hAnsi="Arial" w:eastAsia="ＭＳ 明朝;MS Mincho" w:cs="Arial"/>
                            <w:color w:val="auto"/>
                            <w:lang w:val="en-GB" w:eastAsia="ja-JP" w:bidi="ar-SA"/>
                          </w:rPr>
                          <w:t>Discusses bilateral/multilateral issues</w:t>
                        </w:r>
                      </w:p>
                      <w:p>
                        <w:pPr>
                          <w:overflowPunct w:val="false"/>
                          <w:bidi w:val="0"/>
                          <w:rPr/>
                        </w:pPr>
                        <w:r>
                          <w:rPr>
                            <w:kern w:val="2"/>
                            <w:sz w:val="22"/>
                            <w:szCs w:val="24"/>
                            <w:rFonts w:ascii="Arial" w:hAnsi="Arial" w:eastAsia="ＭＳ 明朝;MS Mincho" w:cs="Arial"/>
                            <w:color w:val="auto"/>
                            <w:lang w:val="en-GB" w:eastAsia="ja-JP" w:bidi="ar-SA"/>
                          </w:rPr>
                          <w:t>Major economic ministries, departments participate (Treasury, State Dept., White House, Commerce Dept. [US], Cabinet Office, MoFA, MoF, METI [Japan])</w:t>
                        </w:r>
                      </w:p>
                    </w:txbxContent>
                  </v:textbox>
                  <v:fill o:detectmouseclick="t" type="solid" color2="black"/>
                  <v:stroke color="#3465a4" joinstyle="round" endcap="flat"/>
                  <w10:wrap type="none"/>
                </v:shape>
                <v:shape id="shape_0" stroked="f" o:allowincell="f" style="position:absolute;left:-120;top:3527;width:8879;height:1799;mso-wrap-style:square;v-text-anchor:top" type="_x0000_t202">
                  <v:textbox>
                    <w:txbxContent>
                      <w:p>
                        <w:pPr>
                          <w:overflowPunct w:val="false"/>
                          <w:bidi w:val="0"/>
                          <w:rPr/>
                        </w:pPr>
                        <w:r>
                          <w:rPr>
                            <w:kern w:val="2"/>
                            <w:sz w:val="22"/>
                            <w:szCs w:val="24"/>
                            <w:rFonts w:ascii="Arial" w:hAnsi="Arial" w:eastAsia="ＭＳ 明朝;MS Mincho" w:cs="Arial"/>
                            <w:color w:val="auto"/>
                            <w:lang w:val="en-GB" w:eastAsia="ja-JP" w:bidi="ar-SA"/>
                          </w:rPr>
                          <w:t>Sectoral Discussions (bilateral meeting held once per year)</w:t>
                        </w:r>
                      </w:p>
                      <w:p>
                        <w:pPr>
                          <w:overflowPunct w:val="false"/>
                          <w:bidi w:val="0"/>
                          <w:rPr/>
                        </w:pPr>
                        <w:r>
                          <w:rPr>
                            <w:kern w:val="2"/>
                            <w:sz w:val="22"/>
                            <w:szCs w:val="24"/>
                            <w:rFonts w:ascii="Arial" w:hAnsi="Arial" w:eastAsia="ＭＳ 明朝;MS Mincho" w:cs="Arial"/>
                            <w:color w:val="auto"/>
                            <w:lang w:val="en-GB" w:eastAsia="ja-JP" w:bidi="ar-SA"/>
                          </w:rPr>
                          <w:t>Finance…………………………………………………………..non-performing loans</w:t>
                        </w:r>
                      </w:p>
                      <w:p>
                        <w:pPr>
                          <w:overflowPunct w:val="false"/>
                          <w:bidi w:val="0"/>
                          <w:rPr/>
                        </w:pPr>
                        <w:r>
                          <w:rPr>
                            <w:kern w:val="2"/>
                            <w:sz w:val="22"/>
                            <w:szCs w:val="24"/>
                            <w:rFonts w:ascii="Arial" w:hAnsi="Arial" w:eastAsia="ＭＳ 明朝;MS Mincho" w:cs="Arial"/>
                            <w:color w:val="auto"/>
                            <w:lang w:val="en-GB" w:eastAsia="ja-JP" w:bidi="ar-SA"/>
                          </w:rPr>
                          <w:t>Investment………………………………………………….…increasing FDI in Japan</w:t>
                        </w:r>
                      </w:p>
                      <w:p>
                        <w:pPr>
                          <w:overflowPunct w:val="false"/>
                          <w:bidi w:val="0"/>
                          <w:rPr/>
                        </w:pPr>
                        <w:r>
                          <w:rPr>
                            <w:kern w:val="2"/>
                            <w:sz w:val="22"/>
                            <w:szCs w:val="24"/>
                            <w:rFonts w:ascii="Arial" w:hAnsi="Arial" w:eastAsia="ＭＳ 明朝;MS Mincho" w:cs="Arial"/>
                            <w:color w:val="auto"/>
                            <w:lang w:val="en-GB" w:eastAsia="ja-JP" w:bidi="ar-SA"/>
                          </w:rPr>
                          <w:t>Trade……………………………………………………….promote free trade policies</w:t>
                        </w:r>
                      </w:p>
                      <w:p>
                        <w:pPr>
                          <w:overflowPunct w:val="false"/>
                          <w:bidi w:val="0"/>
                          <w:rPr/>
                        </w:pPr>
                        <w:r>
                          <w:rPr>
                            <w:kern w:val="2"/>
                            <w:sz w:val="22"/>
                            <w:b/>
                            <w:i/>
                            <w:szCs w:val="24"/>
                            <w:bCs/>
                            <w:iCs/>
                            <w:rFonts w:ascii="Arial" w:hAnsi="Arial" w:eastAsia="ＭＳ 明朝;MS Mincho" w:cs="Arial"/>
                            <w:color w:val="auto"/>
                            <w:lang w:val="en-GB" w:eastAsia="ja-JP" w:bidi="ar-SA"/>
                          </w:rPr>
                          <w:t>Deregulation…………………..…… energy , telecoms, IT, medical equipment</w:t>
                        </w:r>
                      </w:p>
                    </w:txbxContent>
                  </v:textbox>
                  <v:fill o:detectmouseclick="t" on="false"/>
                  <v:stroke color="#3465a4" joinstyle="round" endcap="flat"/>
                  <w10:wrap type="none"/>
                </v:shape>
                <v:shape id="shape_0" fillcolor="white" stroked="f" o:allowincell="f" style="position:absolute;left:-120;top:2267;width:9119;height:1079;mso-wrap-style:square;v-text-anchor:top" type="_x0000_t202">
                  <v:textbox>
                    <w:txbxContent>
                      <w:p>
                        <w:pPr>
                          <w:overflowPunct w:val="false"/>
                          <w:bidi w:val="0"/>
                          <w:rPr/>
                        </w:pPr>
                        <w:r>
                          <w:rPr>
                            <w:kern w:val="2"/>
                            <w:sz w:val="22"/>
                            <w:szCs w:val="24"/>
                            <w:rFonts w:ascii="Arial" w:hAnsi="Arial" w:eastAsia="ＭＳ 明朝;MS Mincho" w:cs="Arial"/>
                            <w:color w:val="auto"/>
                            <w:lang w:val="en-GB" w:eastAsia="ja-JP" w:bidi="ar-SA"/>
                          </w:rPr>
                          <w:t>Ministry/Private Sector Roundtable (held before vice ministerial conference)</w:t>
                        </w:r>
                      </w:p>
                      <w:p>
                        <w:pPr>
                          <w:overflowPunct w:val="false"/>
                          <w:bidi w:val="0"/>
                          <w:rPr/>
                        </w:pPr>
                        <w:r>
                          <w:rPr>
                            <w:kern w:val="2"/>
                            <w:sz w:val="22"/>
                            <w:szCs w:val="24"/>
                            <w:rFonts w:ascii="Arial" w:hAnsi="Arial" w:eastAsia="ＭＳ 明朝;MS Mincho" w:cs="Arial"/>
                            <w:color w:val="auto"/>
                            <w:lang w:val="en-GB" w:eastAsia="ja-JP" w:bidi="ar-SA"/>
                          </w:rPr>
                          <w:t>Participated in by vice ministerial conference members and private sector representatives</w:t>
                        </w:r>
                      </w:p>
                      <w:p>
                        <w:pPr>
                          <w:overflowPunct w:val="false"/>
                          <w:bidi w:val="0"/>
                          <w:ind w:start="360" w:end="0" w:hanging="0"/>
                          <w:rPr/>
                        </w:pPr>
                        <w:r>
                          <w:rPr>
                            <w:kern w:val="2"/>
                            <w:sz w:val="24"/>
                            <w:rFonts w:cs="NotoSans NF" w:eastAsia="Liberation Sans" w:ascii="Liberation Serif" w:hAnsi="Liberation Serif"/>
                            <w:lang w:bidi="hi-IN" w:val="en-CA"/>
                          </w:rPr>
                        </w:r>
                      </w:p>
                    </w:txbxContent>
                  </v:textbox>
                  <v:fill o:detectmouseclick="t" type="solid" color2="black"/>
                  <v:stroke color="#3465a4" joinstyle="round" endcap="flat"/>
                  <w10:wrap type="none"/>
                </v:shape>
              </v:group>
            </w:pict>
          </mc:Fallback>
        </mc:AlternateContent>
      </w:r>
    </w:p>
    <w:p>
      <w:pPr>
        <w:pStyle w:val="Header"/>
        <w:tabs>
          <w:tab w:val="clear" w:pos="4419"/>
          <w:tab w:val="clear" w:pos="8838"/>
        </w:tabs>
        <w:ind w:start="720" w:end="0"/>
        <w:jc w:val="both"/>
        <w:rPr>
          <w:lang w:eastAsia="ja-JP"/>
        </w:rPr>
      </w:pPr>
      <w:r>
        <w:rPr>
          <w:lang w:eastAsia="ja-JP"/>
        </w:rPr>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b/>
          <w:bCs/>
          <w:lang w:eastAsia="ja-JP"/>
        </w:rPr>
      </w:pPr>
      <w:r>
        <w:rPr>
          <w:b/>
          <w:bCs/>
          <w:lang w:eastAsia="ja-JP"/>
        </w:rPr>
      </w:r>
    </w:p>
    <w:p>
      <w:pPr>
        <w:pStyle w:val="Header"/>
        <w:tabs>
          <w:tab w:val="clear" w:pos="4419"/>
          <w:tab w:val="clear" w:pos="8838"/>
        </w:tabs>
        <w:jc w:val="both"/>
        <w:rPr>
          <w:lang w:eastAsia="ja-JP"/>
        </w:rPr>
      </w:pPr>
      <w:r>
        <w:rPr>
          <w:b/>
          <w:bCs/>
          <w:lang w:eastAsia="ja-JP"/>
        </w:rPr>
        <w:t>2) LDP Success in Tokyo Election Augurs Well for Reform Agenda</w:t>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pPr>
      <w:r>
        <w:rPr>
          <w:lang w:eastAsia="ja-JP"/>
        </w:rPr>
        <w:t>The LDP were successful in local elections for Tokyo held on June 25, winning 53 of 127 seats up for reelection. The result exceeded expectations, and offered early vindication of Koizumi</w:t>
      </w:r>
      <w:r>
        <w:rPr>
          <w:lang w:eastAsia="ja-JP"/>
        </w:rPr>
        <w:t>’</w:t>
      </w:r>
      <w:r>
        <w:rPr>
          <w:lang w:eastAsia="ja-JP"/>
        </w:rPr>
        <w:t>s leadership.</w:t>
      </w:r>
    </w:p>
    <w:p>
      <w:pPr>
        <w:pStyle w:val="Header"/>
        <w:tabs>
          <w:tab w:val="clear" w:pos="4419"/>
          <w:tab w:val="clear" w:pos="8838"/>
        </w:tabs>
        <w:jc w:val="center"/>
        <w:rPr>
          <w:lang w:eastAsia="ja-JP"/>
        </w:rPr>
      </w:pPr>
      <w:r>
        <w:rPr/>
        <w:object w:dxaOrig="6401" w:dyaOrig="486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6.75pt;height:243pt" filled="f" o:ole="">
            <v:imagedata r:id="rId3" o:title=""/>
          </v:shape>
          <o:OLEObject Type="Embed" ProgID="Excel.Sheet.12" ShapeID="ole_rId2" DrawAspect="Content" ObjectID="_733467368" r:id="rId2"/>
        </w:object>
      </w:r>
      <w:r>
        <mc:AlternateContent>
          <mc:Choice Requires="wps">
            <w:drawing>
              <wp:anchor behindDoc="0" distT="0" distB="0" distL="114935" distR="114935" simplePos="0" locked="0" layoutInCell="1" allowOverlap="1" relativeHeight="10">
                <wp:simplePos x="0" y="0"/>
                <wp:positionH relativeFrom="column">
                  <wp:posOffset>457200</wp:posOffset>
                </wp:positionH>
                <wp:positionV relativeFrom="paragraph">
                  <wp:posOffset>111125</wp:posOffset>
                </wp:positionV>
                <wp:extent cx="4343400" cy="342900"/>
                <wp:effectExtent l="0" t="0" r="0" b="0"/>
                <wp:wrapNone/>
                <wp:docPr id="4" name="Frame1"/>
                <a:graphic xmlns:a="http://schemas.openxmlformats.org/drawingml/2006/main">
                  <a:graphicData uri="http://schemas.microsoft.com/office/word/2010/wordprocessingShape">
                    <wps:wsp>
                      <wps:cNvSpPr txBox="1"/>
                      <wps:spPr>
                        <a:xfrm>
                          <a:off x="0" y="0"/>
                          <a:ext cx="4343400" cy="342900"/>
                        </a:xfrm>
                        <a:prstGeom prst="rect"/>
                        <a:solidFill>
                          <a:srgbClr val="FFFFFF"/>
                        </a:solidFill>
                      </wps:spPr>
                      <wps:txbx>
                        <w:txbxContent>
                          <w:p>
                            <w:pPr>
                              <w:pStyle w:val="Normal"/>
                              <w:jc w:val="center"/>
                              <w:rPr>
                                <w:b/>
                                <w:bCs/>
                                <w:lang w:eastAsia="ja-JP"/>
                              </w:rPr>
                            </w:pPr>
                            <w:r>
                              <w:rPr>
                                <w:b/>
                                <w:bCs/>
                                <w:lang w:eastAsia="ja-JP"/>
                              </w:rPr>
                              <w:t>Tokyo Local Election Results</w:t>
                            </w:r>
                          </w:p>
                        </w:txbxContent>
                      </wps:txbx>
                      <wps:bodyPr anchor="t" lIns="92075" tIns="46355" rIns="92075" bIns="46355">
                        <a:noAutofit/>
                      </wps:bodyPr>
                    </wps:wsp>
                  </a:graphicData>
                </a:graphic>
              </wp:anchor>
            </w:drawing>
          </mc:Choice>
          <mc:Fallback>
            <w:pict>
              <v:rect fillcolor="#FFFFFF" style="position:absolute;rotation:-0;width:342pt;height:27pt;mso-wrap-distance-left:9.05pt;mso-wrap-distance-right:9.05pt;mso-wrap-distance-top:0pt;mso-wrap-distance-bottom:0pt;margin-top:8.75pt;mso-position-vertical-relative:text;margin-left:36pt;mso-position-horizontal-relative:text">
                <v:textbox inset="0.100694444444444in,0.0506944444444444in,0.100694444444444in,0.0506944444444444in">
                  <w:txbxContent>
                    <w:p>
                      <w:pPr>
                        <w:pStyle w:val="Normal"/>
                        <w:jc w:val="center"/>
                        <w:rPr>
                          <w:b/>
                          <w:bCs/>
                          <w:lang w:eastAsia="ja-JP"/>
                        </w:rPr>
                      </w:pPr>
                      <w:r>
                        <w:rPr>
                          <w:b/>
                          <w:bCs/>
                          <w:lang w:eastAsia="ja-JP"/>
                        </w:rPr>
                        <w:t>Tokyo Local Election Results</w:t>
                      </w:r>
                    </w:p>
                  </w:txbxContent>
                </v:textbox>
                <w10:wrap type="none"/>
              </v:rect>
            </w:pict>
          </mc:Fallback>
        </mc:AlternateContent>
      </w:r>
    </w:p>
    <w:p>
      <w:pPr>
        <w:pStyle w:val="Header"/>
        <w:tabs>
          <w:tab w:val="clear" w:pos="4419"/>
          <w:tab w:val="clear" w:pos="8838"/>
        </w:tabs>
        <w:jc w:val="both"/>
        <w:rPr>
          <w:lang w:eastAsia="ja-JP"/>
        </w:rPr>
      </w:pPr>
      <w:r>
        <w:rPr>
          <w:lang w:eastAsia="ja-JP"/>
        </w:rPr>
        <w:t>The LDP can now be expected to do relatively well in the upper house election slated for July 29, giving the coalition government a better than 50% chance of maintaining a majority in both houses.</w:t>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pPr>
      <w:r>
        <w:rPr>
          <w:lang w:eastAsia="ja-JP"/>
        </w:rPr>
        <w:t>The result is significant as shows that support for Koizumi</w:t>
      </w:r>
      <w:r>
        <w:rPr>
          <w:lang w:eastAsia="ja-JP"/>
        </w:rPr>
        <w:t>’</w:t>
      </w:r>
      <w:r>
        <w:rPr>
          <w:lang w:eastAsia="ja-JP"/>
        </w:rPr>
        <w:t>s leadership is translating into votes for the LDP in urban areas. This was in some doubt as:</w:t>
      </w:r>
    </w:p>
    <w:p>
      <w:pPr>
        <w:pStyle w:val="Header"/>
        <w:tabs>
          <w:tab w:val="clear" w:pos="4419"/>
          <w:tab w:val="clear" w:pos="8838"/>
        </w:tabs>
        <w:jc w:val="both"/>
        <w:rPr>
          <w:lang w:eastAsia="ja-JP"/>
        </w:rPr>
      </w:pPr>
      <w:r>
        <w:rPr>
          <w:lang w:eastAsia="ja-JP"/>
        </w:rPr>
      </w:r>
    </w:p>
    <w:p>
      <w:pPr>
        <w:pStyle w:val="Header"/>
        <w:tabs>
          <w:tab w:val="clear" w:pos="4419"/>
          <w:tab w:val="clear" w:pos="8838"/>
        </w:tabs>
        <w:ind w:start="360" w:end="0"/>
        <w:jc w:val="both"/>
        <w:rPr>
          <w:lang w:eastAsia="ja-JP"/>
        </w:rPr>
      </w:pPr>
      <w:r>
        <w:rPr>
          <w:lang w:eastAsia="ja-JP"/>
        </w:rPr>
      </w:r>
    </w:p>
    <w:p>
      <w:pPr>
        <w:pStyle w:val="Header"/>
        <w:tabs>
          <w:tab w:val="clear" w:pos="4419"/>
          <w:tab w:val="clear" w:pos="8838"/>
        </w:tabs>
        <w:ind w:start="360" w:end="0"/>
        <w:jc w:val="both"/>
        <w:rPr>
          <w:lang w:eastAsia="ja-JP"/>
        </w:rPr>
      </w:pPr>
      <w:r>
        <w:rPr>
          <w:lang w:eastAsia="ja-JP"/>
        </w:rPr>
      </w:r>
    </w:p>
    <w:p>
      <w:pPr>
        <w:pStyle w:val="Header"/>
        <w:numPr>
          <w:ilvl w:val="0"/>
          <w:numId w:val="2"/>
        </w:numPr>
        <w:tabs>
          <w:tab w:val="clear" w:pos="4419"/>
          <w:tab w:val="clear" w:pos="8838"/>
        </w:tabs>
        <w:jc w:val="both"/>
        <w:rPr>
          <w:lang w:eastAsia="ja-JP"/>
        </w:rPr>
      </w:pPr>
      <w:r>
        <w:rPr>
          <w:lang w:eastAsia="ja-JP"/>
        </w:rPr>
        <w:t>LDP party support levels remain far below support for the cabinet in opinion polls, pointing to continuing voter allergy to the LDP despite Koizumi</w:t>
      </w:r>
      <w:r>
        <w:rPr>
          <w:lang w:eastAsia="ja-JP"/>
        </w:rPr>
        <w:t>’</w:t>
      </w:r>
      <w:r>
        <w:rPr>
          <w:lang w:eastAsia="ja-JP"/>
        </w:rPr>
        <w:t>s popularity.</w:t>
      </w:r>
    </w:p>
    <w:p>
      <w:pPr>
        <w:pStyle w:val="Header"/>
        <w:numPr>
          <w:ilvl w:val="0"/>
          <w:numId w:val="2"/>
        </w:numPr>
        <w:tabs>
          <w:tab w:val="clear" w:pos="4419"/>
          <w:tab w:val="clear" w:pos="8838"/>
        </w:tabs>
        <w:jc w:val="both"/>
        <w:rPr>
          <w:lang w:eastAsia="ja-JP"/>
        </w:rPr>
      </w:pPr>
      <w:r>
        <w:rPr>
          <w:lang w:eastAsia="ja-JP"/>
        </w:rPr>
        <w:t>The LDP has done badly amongst urban voters, most recently in the general election of June 2000, where it failed to win a seat in the Tokyo and Osaka regions.</w:t>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pPr>
      <w:r>
        <w:rPr>
          <w:lang w:eastAsia="ja-JP"/>
        </w:rPr>
        <w:t xml:space="preserve">Overall this is a </w:t>
      </w:r>
      <w:r>
        <w:rPr>
          <w:lang w:eastAsia="ja-JP"/>
        </w:rPr>
        <w:t>positive</w:t>
      </w:r>
      <w:r>
        <w:rPr>
          <w:lang w:eastAsia="ja-JP"/>
        </w:rPr>
        <w:t xml:space="preserve"> outcome for reform, as it reduces the likelihood of a general election being forced within 2001, which would increase political instability and policy inertia. </w:t>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pPr>
      <w:r>
        <w:rPr>
          <w:lang w:eastAsia="ja-JP"/>
        </w:rPr>
        <w:t>It also vindicates the reformist policies being pursued by the Koizumi cabinet, and strengthens the hand of Koizumi within his own party (see May 11 report for detail on Koizumi</w:t>
      </w:r>
      <w:r>
        <w:rPr>
          <w:lang w:eastAsia="ja-JP"/>
        </w:rPr>
        <w:t>’</w:t>
      </w:r>
      <w:r>
        <w:rPr>
          <w:lang w:eastAsia="ja-JP"/>
        </w:rPr>
        <w:t>s precarious hold on power).</w:t>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lang w:eastAsia="ja-JP"/>
        </w:rPr>
      </w:pPr>
      <w:r>
        <w:rPr>
          <w:lang w:eastAsia="ja-JP"/>
        </w:rPr>
      </w:r>
    </w:p>
    <w:p>
      <w:pPr>
        <w:pStyle w:val="Header"/>
        <w:tabs>
          <w:tab w:val="clear" w:pos="4419"/>
          <w:tab w:val="clear" w:pos="8838"/>
        </w:tabs>
        <w:jc w:val="both"/>
        <w:rPr>
          <w:lang w:eastAsia="ja-JP"/>
        </w:rPr>
      </w:pPr>
      <w:r>
        <w:rPr>
          <w:lang w:eastAsia="ja-JP"/>
        </w:rPr>
      </w:r>
    </w:p>
    <w:p>
      <w:pPr>
        <w:pStyle w:val="Header"/>
        <w:tabs>
          <w:tab w:val="clear" w:pos="4419"/>
          <w:tab w:val="clear" w:pos="8838"/>
        </w:tabs>
        <w:jc w:val="center"/>
        <w:rPr>
          <w:lang w:eastAsia="ja-JP"/>
        </w:rPr>
      </w:pPr>
      <w:r>
        <w:rPr>
          <w:lang w:eastAsia="ja-JP"/>
        </w:rPr>
      </w:r>
    </w:p>
    <w:sectPr>
      <w:headerReference w:type="default" r:id="rId4"/>
      <w:footerReference w:type="default" r:id="rId5"/>
      <w:footnotePr>
        <w:numFmt w:val="decimal"/>
      </w:footnotePr>
      <w:type w:val="nextPage"/>
      <w:pgSz w:w="11906" w:h="16838"/>
      <w:pgMar w:left="1800" w:right="1800" w:gutter="0" w:header="720" w:top="126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8105" cy="160655"/>
              <wp:effectExtent l="0" t="0" r="0" b="0"/>
              <wp:wrapSquare wrapText="bothSides"/>
              <wp:docPr id="6" name="Frame2"/>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04.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sz w:val="18"/>
        </w:rPr>
        <w:t xml:space="preserve"> </w:t>
      </w:r>
      <w:r>
        <w:rPr>
          <w:sz w:val="18"/>
          <w:lang w:eastAsia="ja-JP"/>
        </w:rPr>
        <w:t>The treaty will become law in at least 55 countries accounting for 55% of the industrialised world</w:t>
      </w:r>
      <w:r>
        <w:rPr>
          <w:sz w:val="18"/>
          <w:lang w:eastAsia="ja-JP"/>
        </w:rPr>
        <w:t>’</w:t>
      </w:r>
      <w:r>
        <w:rPr>
          <w:sz w:val="18"/>
          <w:lang w:eastAsia="ja-JP"/>
        </w:rPr>
        <w:t>s carbon dioxide emissions ratify. It will be difficult to meet this target without US and Japanese ratification.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lang w:eastAsia="ja-JP"/>
      </w:rPr>
    </w:pPr>
    <w:r>
      <mc:AlternateContent>
        <mc:Choice Requires="wps">
          <w:drawing>
            <wp:anchor behindDoc="1" distT="0" distB="0" distL="114935" distR="114935" simplePos="0" locked="0" layoutInCell="1" allowOverlap="1" relativeHeight="8">
              <wp:simplePos x="0" y="0"/>
              <wp:positionH relativeFrom="column">
                <wp:posOffset>-457200</wp:posOffset>
              </wp:positionH>
              <wp:positionV relativeFrom="paragraph">
                <wp:posOffset>342900</wp:posOffset>
              </wp:positionV>
              <wp:extent cx="6248400" cy="0"/>
              <wp:effectExtent l="0" t="5080" r="0" b="5080"/>
              <wp:wrapNone/>
              <wp:docPr id="5" name=""/>
              <a:graphic xmlns:a="http://schemas.openxmlformats.org/drawingml/2006/main">
                <a:graphicData uri="http://schemas.microsoft.com/office/word/2010/wordprocessingShape">
                  <wps:wsp>
                    <wps:cNvSpPr/>
                    <wps:spPr>
                      <a:xfrm>
                        <a:off x="0" y="0"/>
                        <a:ext cx="6248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27pt" to="455.95pt,27pt" stroked="t" o:allowincell="f" style="position:absolute">
              <v:stroke color="black" weight="9360" joinstyle="miter" endcap="flat"/>
              <v:fill o:detectmouseclick="t" on="false"/>
              <w10:wrap type="none"/>
            </v:line>
          </w:pict>
        </mc:Fallback>
      </mc:AlternateContent>
    </w:r>
    <w:r>
      <w:rPr>
        <w:sz w:val="20"/>
        <w:lang w:eastAsia="ja-JP"/>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ＭＳ 明朝;MS Mincho" w:cs="Arial"/>
      <w:color w:val="auto"/>
      <w:sz w:val="22"/>
      <w:szCs w:val="24"/>
      <w:lang w:val="en-GB" w:bidi="ar-SA" w:eastAsia="zh-CN"/>
    </w:rPr>
  </w:style>
  <w:style w:type="paragraph" w:styleId="Heading1">
    <w:name w:val="heading 1"/>
    <w:basedOn w:val="Normal"/>
    <w:next w:val="Normal"/>
    <w:qFormat/>
    <w:pPr>
      <w:keepNext w:val="true"/>
      <w:numPr>
        <w:ilvl w:val="0"/>
        <w:numId w:val="1"/>
      </w:numPr>
      <w:jc w:val="center"/>
      <w:outlineLvl w:val="0"/>
    </w:pPr>
    <w:rPr>
      <w:rFonts w:eastAsia="ＭＳ 明朝;MS Mincho"/>
      <w:b/>
      <w:bCs/>
      <w:lang w:eastAsia="ja-JP"/>
    </w:rPr>
  </w:style>
  <w:style w:type="paragraph" w:styleId="Heading2">
    <w:name w:val="heading 2"/>
    <w:basedOn w:val="Normal"/>
    <w:next w:val="Normal"/>
    <w:qFormat/>
    <w:pPr>
      <w:keepNext w:val="true"/>
      <w:numPr>
        <w:ilvl w:val="1"/>
        <w:numId w:val="1"/>
      </w:numPr>
      <w:jc w:val="center"/>
      <w:outlineLvl w:val="1"/>
    </w:pPr>
    <w:rPr>
      <w:rFonts w:eastAsia="ＭＳ 明朝;MS Mincho"/>
      <w:b/>
      <w:bCs/>
      <w:sz w:val="24"/>
      <w:lang w:eastAsia="ja-JP"/>
    </w:rPr>
  </w:style>
  <w:style w:type="paragraph" w:styleId="Heading3">
    <w:name w:val="heading 3"/>
    <w:basedOn w:val="Normal"/>
    <w:next w:val="Normal"/>
    <w:qFormat/>
    <w:pPr>
      <w:keepNext w:val="true"/>
      <w:numPr>
        <w:ilvl w:val="2"/>
        <w:numId w:val="1"/>
      </w:numPr>
      <w:jc w:val="center"/>
      <w:outlineLvl w:val="2"/>
    </w:pPr>
    <w:rPr>
      <w:rFonts w:eastAsia="ＭＳ 明朝;MS Mincho"/>
      <w:b/>
      <w:bCs/>
      <w:sz w:val="28"/>
      <w:lang w:eastAsia="ja-JP"/>
    </w:rPr>
  </w:style>
  <w:style w:type="paragraph" w:styleId="Heading4">
    <w:name w:val="heading 4"/>
    <w:basedOn w:val="Normal"/>
    <w:next w:val="Normal"/>
    <w:qFormat/>
    <w:pPr>
      <w:keepNext w:val="true"/>
      <w:numPr>
        <w:ilvl w:val="3"/>
        <w:numId w:val="1"/>
      </w:numPr>
      <w:outlineLvl w:val="3"/>
    </w:pPr>
    <w:rPr>
      <w:rFonts w:eastAsia="ＭＳ 明朝;MS Mincho"/>
      <w:b/>
      <w:bCs/>
      <w:lang w:eastAsia="ja-JP"/>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eastAsia="ＭＳ 明朝;MS Mincho" w:cs="Aria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eastAsia="ＭＳ 明朝;MS Mincho"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eastAsia="ＭＳ 明朝;MS Mincho"/>
      <w:b/>
      <w:bCs/>
      <w:lang w:eastAsia="ja-JP"/>
    </w:rPr>
  </w:style>
  <w:style w:type="paragraph" w:styleId="BodyText">
    <w:name w:val="Body Text"/>
    <w:basedOn w:val="Normal"/>
    <w:pPr>
      <w:jc w:val="center"/>
    </w:pPr>
    <w:rPr>
      <w:rFonts w:eastAsia="ＭＳ 明朝;MS Mincho"/>
      <w:b/>
      <w:bCs/>
      <w:lang w:eastAsia="ja-JP"/>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eastAsia="ＭＳ 明朝;MS Mincho"/>
      <w:sz w:val="28"/>
      <w:lang w:eastAsia="ja-JP"/>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419" w:leader="none"/>
        <w:tab w:val="right" w:pos="8838" w:leader="none"/>
      </w:tabs>
    </w:pPr>
    <w:rPr/>
  </w:style>
  <w:style w:type="paragraph" w:styleId="Footer">
    <w:name w:val="footer"/>
    <w:basedOn w:val="Normal"/>
    <w:pPr>
      <w:tabs>
        <w:tab w:val="clear" w:pos="720"/>
        <w:tab w:val="center" w:pos="4419" w:leader="none"/>
        <w:tab w:val="right" w:pos="8838" w:leader="none"/>
      </w:tabs>
    </w:pPr>
    <w:rPr/>
  </w:style>
  <w:style w:type="paragraph" w:styleId="FootnoteText">
    <w:name w:val="footnote text"/>
    <w:basedOn w:val="Normal"/>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2001-07-01T23:29:00Z</dcterms:created>
  <dc:creator>lhughes2</dc:creator>
  <dc:description/>
  <dc:language>en-CA</dc:language>
  <cp:lastModifiedBy>lhughes2</cp:lastModifiedBy>
  <cp:lastPrinted>2001-07-02T13:35:00Z</cp:lastPrinted>
  <dcterms:modified xsi:type="dcterms:W3CDTF">2001-07-03T00:41:00Z</dcterms:modified>
  <cp:revision>9</cp:revision>
  <dc:subject/>
  <dc:title>Political Report</dc:title>
</cp:coreProperties>
</file>