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Domestic Employees</w:t>
      </w:r>
    </w:p>
    <w:p>
      <w:pPr>
        <w:pStyle w:val="Normal"/>
        <w:rPr/>
      </w:pPr>
      <w:r>
        <w:rPr/>
      </w:r>
    </w:p>
    <w:p>
      <w:pPr>
        <w:pStyle w:val="Normal"/>
        <w:rPr/>
      </w:pPr>
      <w:r>
        <w:rPr/>
        <w:t>FROM:</w:t>
        <w:tab/>
        <w:t>Office of the Chairman</w:t>
      </w:r>
    </w:p>
    <w:p>
      <w:pPr>
        <w:pStyle w:val="Normal"/>
        <w:rPr/>
      </w:pPr>
      <w:r>
        <w:rPr/>
      </w:r>
    </w:p>
    <w:p>
      <w:pPr>
        <w:pStyle w:val="Normal"/>
        <w:rPr/>
      </w:pPr>
      <w:r>
        <w:rPr/>
        <w:t>DATE:</w:t>
        <w:tab/>
        <w:tab/>
        <w:t>Day, Date, 2001</w:t>
      </w:r>
    </w:p>
    <w:p>
      <w:pPr>
        <w:pStyle w:val="Normal"/>
        <w:rPr/>
      </w:pPr>
      <w:r>
        <w:rPr/>
      </w:r>
    </w:p>
    <w:p>
      <w:pPr>
        <w:pStyle w:val="Normal"/>
        <w:rPr/>
      </w:pPr>
      <w:r>
        <w:rPr/>
        <w:t>RE:</w:t>
        <w:tab/>
        <w:tab/>
        <w:t>Policy Changes</w:t>
      </w:r>
    </w:p>
    <w:p>
      <w:pPr>
        <w:pStyle w:val="Normal"/>
        <w:rPr/>
      </w:pPr>
      <w:r>
        <w:rPr/>
      </w:r>
    </w:p>
    <w:p>
      <w:pPr>
        <w:pStyle w:val="Normal"/>
        <w:rPr/>
      </w:pPr>
      <w:r>
        <w:rPr/>
        <w:t>As you know, we have been reviewing a number of employee benefits, including the severance plan.  While we have discussed changes to this plan and other human resources policies for some time, these policies hold greater significance now as we prepare for broad business restructurings.</w:t>
      </w:r>
    </w:p>
    <w:p>
      <w:pPr>
        <w:pStyle w:val="Normal"/>
        <w:rPr/>
      </w:pPr>
      <w:r>
        <w:rPr/>
      </w:r>
    </w:p>
    <w:p>
      <w:pPr>
        <w:pStyle w:val="Normal"/>
        <w:rPr/>
      </w:pPr>
      <w:r>
        <w:rPr/>
        <w:t>Changes to the severance plan and human resources policies are outlined below:</w:t>
      </w:r>
    </w:p>
    <w:p>
      <w:pPr>
        <w:pStyle w:val="Normal"/>
        <w:rPr/>
      </w:pPr>
      <w:r>
        <w:rPr/>
      </w:r>
    </w:p>
    <w:p>
      <w:pPr>
        <w:pStyle w:val="Normal"/>
        <w:numPr>
          <w:ilvl w:val="0"/>
          <w:numId w:val="2"/>
        </w:numPr>
        <w:tabs>
          <w:tab w:val="left" w:pos="720" w:leader="none"/>
        </w:tabs>
        <w:ind w:hanging="360" w:start="720" w:end="0"/>
        <w:rPr/>
      </w:pPr>
      <w:r>
        <w:rPr>
          <w:b/>
          <w:bCs/>
        </w:rPr>
        <w:t xml:space="preserve">SEVERANCE – </w:t>
      </w:r>
      <w:r>
        <w:rPr/>
        <w:t>[INSERT OPTION 1, 2 or 3] To review</w:t>
      </w:r>
      <w:r>
        <w:rPr>
          <w:b/>
          <w:bCs/>
        </w:rPr>
        <w:t xml:space="preserve"> </w:t>
      </w:r>
      <w:r>
        <w:rPr/>
        <w:t xml:space="preserve">Enron’s restated severance plan, which is effective immediately, click on the link below.  </w:t>
      </w:r>
    </w:p>
    <w:p>
      <w:pPr>
        <w:pStyle w:val="Normal"/>
        <w:tabs>
          <w:tab w:val="left" w:pos="720" w:leader="none"/>
        </w:tabs>
        <w:ind w:start="360" w:end="0"/>
        <w:rPr/>
      </w:pPr>
      <w:r>
        <w:rPr>
          <w:b/>
          <w:bCs/>
        </w:rPr>
        <w:tab/>
      </w:r>
      <w:r>
        <w:rPr/>
        <w:t>[INSERT LINK]</w:t>
      </w:r>
    </w:p>
    <w:p>
      <w:pPr>
        <w:pStyle w:val="Normal"/>
        <w:tabs>
          <w:tab w:val="left" w:pos="720" w:leader="none"/>
        </w:tabs>
        <w:ind w:start="720" w:end="0"/>
        <w:rPr/>
      </w:pPr>
      <w:r>
        <w:rPr>
          <w:b/>
          <w:bCs/>
          <w:i/>
          <w:iCs/>
        </w:rPr>
        <w:t xml:space="preserve">OPTION 1 – </w:t>
      </w:r>
      <w:r>
        <w:rPr>
          <w:i/>
          <w:iCs/>
        </w:rPr>
        <w:t>We are pleased to be able to maintain our existing severance plan with some modifications.</w:t>
      </w:r>
    </w:p>
    <w:p>
      <w:pPr>
        <w:pStyle w:val="Normal"/>
        <w:tabs>
          <w:tab w:val="left" w:pos="720" w:leader="none"/>
        </w:tabs>
        <w:ind w:start="720" w:end="0"/>
        <w:rPr/>
      </w:pPr>
      <w:r>
        <w:rPr>
          <w:b/>
          <w:bCs/>
          <w:i/>
          <w:iCs/>
        </w:rPr>
        <w:t xml:space="preserve">OPTION 2 – </w:t>
      </w:r>
      <w:r>
        <w:rPr>
          <w:i/>
          <w:iCs/>
        </w:rPr>
        <w:t>The new severance plan amounts to a 25 percent reduction from the previous plan.</w:t>
      </w:r>
    </w:p>
    <w:p>
      <w:pPr>
        <w:pStyle w:val="Normal"/>
        <w:tabs>
          <w:tab w:val="left" w:pos="720" w:leader="none"/>
        </w:tabs>
        <w:ind w:start="720" w:end="0"/>
        <w:rPr/>
      </w:pPr>
      <w:r>
        <w:rPr>
          <w:b/>
          <w:bCs/>
          <w:i/>
          <w:iCs/>
        </w:rPr>
        <w:t xml:space="preserve">OPTION 3 – </w:t>
      </w:r>
      <w:r>
        <w:rPr>
          <w:i/>
          <w:iCs/>
        </w:rPr>
        <w:t>As we prepare to merger with Dynegy, we have elected to adopt their severance plan.</w:t>
      </w:r>
    </w:p>
    <w:p>
      <w:pPr>
        <w:pStyle w:val="Normal"/>
        <w:numPr>
          <w:ilvl w:val="0"/>
          <w:numId w:val="3"/>
        </w:numPr>
        <w:tabs>
          <w:tab w:val="left" w:pos="720" w:leader="none"/>
        </w:tabs>
        <w:rPr/>
      </w:pPr>
      <w:r>
        <w:rPr>
          <w:b/>
          <w:bCs/>
        </w:rPr>
        <w:t>VACATION</w:t>
      </w:r>
      <w:r>
        <w:rPr/>
        <w:t xml:space="preserve"> – Under the current policy, annual vacation benefits are credited at the beginning of each year.  Effective January 1, 2002, you will accrue vacation in monthly increments, or 1/12 of your annual vacation. For example, if you receive three weeks, or 120 hours, vacation annually, you will accrue 10 hours on the last day of each month.  You will be allowed to schedule and use your annual vacation allotment, plus any carry-over vacation, at any time during the year.  However, if you leave the company during the year, you will be paid only for unused hours accrued prior to your departure date or you will be required to repay the company for hours you have used but not accrued prior to your departure date.</w:t>
      </w:r>
    </w:p>
    <w:p>
      <w:pPr>
        <w:pStyle w:val="Normal"/>
        <w:numPr>
          <w:ilvl w:val="0"/>
          <w:numId w:val="4"/>
        </w:numPr>
        <w:rPr/>
      </w:pPr>
      <w:r>
        <w:rPr>
          <w:b/>
          <w:bCs/>
          <w:caps/>
        </w:rPr>
        <w:t>Adoption or Birth of a Child</w:t>
      </w:r>
      <w:r>
        <w:rPr/>
        <w:t xml:space="preserve"> – Effective January 1, 2002, employees will receive 40 hours of paid leave for the adoption or birth of a child.  Under the current policy, fathers are provided 40 hours paid leave while mothers are paid only under the pregnancy provisions of the sick leave program.  This revised policy provides 40 hours leave to both mothers and fathers.  For mothers giving birth to a child, this revision adds 40 hours to the current provision for pregnancy under the sick leave program.</w:t>
      </w:r>
    </w:p>
    <w:p>
      <w:pPr>
        <w:pStyle w:val="Normal"/>
        <w:numPr>
          <w:ilvl w:val="0"/>
          <w:numId w:val="4"/>
        </w:numPr>
        <w:rPr/>
      </w:pPr>
      <w:r>
        <w:rPr>
          <w:b/>
          <w:bCs/>
          <w:caps/>
        </w:rPr>
        <w:t>Bereavement Leave</w:t>
      </w:r>
      <w:r>
        <w:rPr/>
        <w:t xml:space="preserve"> – Enron’s current bereavement leave allows you time off to attend a funeral for a member of your immediate family.  The new policy has been extended to include members of your household.</w:t>
      </w:r>
    </w:p>
    <w:p>
      <w:pPr>
        <w:pStyle w:val="Normal"/>
        <w:numPr>
          <w:ilvl w:val="0"/>
          <w:numId w:val="4"/>
        </w:numPr>
        <w:rPr/>
      </w:pPr>
      <w:r>
        <w:rPr>
          <w:b/>
          <w:bCs/>
          <w:caps/>
        </w:rPr>
        <w:t>Family Medical Leave/Sick Leave</w:t>
      </w:r>
      <w:r>
        <w:rPr/>
        <w:t xml:space="preserve"> – Effective March 1, 2002, Enron will track employees’ Sick Leave concurrent with their Family Medical Leave Act (FMLA) allocation. This practice is a market standard that eliminates circumstances where sick leave is exhausted prior to FMLA being applied.</w:t>
      </w:r>
    </w:p>
    <w:p>
      <w:pPr>
        <w:pStyle w:val="Normal"/>
        <w:numPr>
          <w:ilvl w:val="0"/>
          <w:numId w:val="4"/>
        </w:numPr>
        <w:rPr/>
      </w:pPr>
      <w:r>
        <w:rPr>
          <w:b/>
          <w:bCs/>
        </w:rPr>
        <w:t>EDUCATIONAL ASSISTANCE</w:t>
      </w:r>
      <w:r>
        <w:rPr/>
        <w:t xml:space="preserve"> – Enron will indefinitely suspend educational assistance.  Employees who were enrolled in course work as part of the company’s Educational Assistance Program on or before November ___ 2002 [SHOULD THIS BE 2001?] will be eligible for reimbursement upon successful completion of the course.  Any tuition obligation or course registration pursued after ___ will not be considered for reimbursement.</w:t>
      </w:r>
    </w:p>
    <w:p>
      <w:pPr>
        <w:pStyle w:val="Normal"/>
        <w:rPr/>
      </w:pPr>
      <w:r>
        <w:rPr/>
      </w:r>
    </w:p>
    <w:p>
      <w:pPr>
        <w:pStyle w:val="Normal"/>
        <w:rPr/>
      </w:pPr>
      <w:r>
        <w:rPr/>
        <w:t xml:space="preserve">Please refer to </w:t>
      </w:r>
      <w:hyperlink r:id="rId2">
        <w:r>
          <w:rPr>
            <w:rStyle w:val="Hyperlink"/>
          </w:rPr>
          <w:t>home.enron.com</w:t>
        </w:r>
      </w:hyperlink>
      <w:r>
        <w:rPr/>
        <w:t xml:space="preserve"> (HRweb) for more information on these policies.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86"/>
        </w:tabs>
        <w:ind w:start="786"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2001-11-25T19:43:00Z</dcterms:created>
  <dc:creator>rjohnso</dc:creator>
  <dc:description/>
  <dc:language>en-CA</dc:language>
  <cp:lastModifiedBy>tjames</cp:lastModifiedBy>
  <cp:lastPrinted>2001-11-20T12:20:00Z</cp:lastPrinted>
  <dcterms:modified xsi:type="dcterms:W3CDTF">2001-11-27T20:40:00Z</dcterms:modified>
  <cp:revision>7</cp:revision>
  <dc:subject/>
  <dc:title>Policy change notice DRAFT</dc:title>
</cp:coreProperties>
</file>