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t xml:space="preserve">As you know, this is an unprecedented time in Enron’s history.  </w:t>
      </w:r>
      <w:r>
        <w:rPr>
          <w:szCs w:val="20"/>
        </w:rPr>
        <w:t xml:space="preserve">We must respond to the unanticipated circumstances by quickly adapting our processes and procedures to fit the immediate needs of our company during this time of transition and are changing several employee programs and policies.  </w:t>
      </w:r>
      <w:r>
        <w:rPr/>
        <w:t>Some changes have been planned for a while; others are a direct result of our current situation.</w:t>
      </w:r>
    </w:p>
    <w:p>
      <w:pPr>
        <w:pStyle w:val="Normal"/>
        <w:jc w:val="both"/>
        <w:rPr/>
      </w:pPr>
      <w:r>
        <w:rPr/>
      </w:r>
    </w:p>
    <w:p>
      <w:pPr>
        <w:pStyle w:val="Normal"/>
        <w:jc w:val="both"/>
        <w:rPr>
          <w:b/>
          <w:bCs/>
          <w:u w:val="single"/>
        </w:rPr>
      </w:pPr>
      <w:r>
        <w:rPr>
          <w:b/>
          <w:bCs/>
          <w:u w:val="single"/>
        </w:rPr>
        <w:t>Human Resource Policies</w:t>
      </w:r>
    </w:p>
    <w:p>
      <w:pPr>
        <w:pStyle w:val="Normal"/>
        <w:jc w:val="both"/>
        <w:rPr/>
      </w:pPr>
      <w:r>
        <w:rPr/>
        <w:t>Enron periodically reviews its human resource policies to ensure they align with market standards.  In May of this year, we began evaluating our policies and related plans and identified several appropriate modifications that reflect best practices for our industry.  The following changes have been adopted and will be effective January 1, 200(2), unless otherwise noted.</w:t>
      </w:r>
    </w:p>
    <w:p>
      <w:pPr>
        <w:pStyle w:val="Normal"/>
        <w:numPr>
          <w:ilvl w:val="0"/>
          <w:numId w:val="3"/>
        </w:numPr>
        <w:jc w:val="both"/>
        <w:rPr/>
      </w:pPr>
      <w:r>
        <w:rPr>
          <w:b/>
          <w:bCs/>
        </w:rPr>
        <w:t>Vacation Policy</w:t>
      </w:r>
      <w:r>
        <w:rPr/>
        <w:t xml:space="preserve"> – Under the current policy, annual vacation balances are credited at the beginning of each year.  Going forward, our SAP payroll system will allocate vacation accrual in monthly increments.  Each month, employees will be credited with 1/12 of their annual vacation.  For example, if an employee receives three weeks, or 120 hours, vacation annually, he or she will accrue 10 hours each month throughout the year.  Employees will be allowed to schedule and use their full annual vacation allotment, plus any carry-over, at any time during the year.  However, employees who leave the company during the year will be paid only for unused hours accrued prior to their departure date or will be required to repay the company for hours they have used but not accrued prior to their departure date.</w:t>
      </w:r>
    </w:p>
    <w:p>
      <w:pPr>
        <w:pStyle w:val="Normal"/>
        <w:numPr>
          <w:ilvl w:val="0"/>
          <w:numId w:val="3"/>
        </w:numPr>
        <w:jc w:val="both"/>
        <w:rPr/>
      </w:pPr>
      <w:r>
        <w:rPr>
          <w:b/>
          <w:bCs/>
        </w:rPr>
        <w:t>Adoption or Birth of a Child</w:t>
      </w:r>
      <w:r>
        <w:rPr/>
        <w:t xml:space="preserve"> – Employees will receive 40 hours of paid leave for the adoption or birth of a child.  Under the current policy, fathers are provided 40 hours paid leave while mothers are paid only under the pregnancy provisions of the sick leave program.  This revised policy provides 40 hours leave to both mothers and fathers.  For mothers giving birth to a child, this revision is in addition to the current provision for pregnancy under the sick leave program.</w:t>
      </w:r>
    </w:p>
    <w:p>
      <w:pPr>
        <w:pStyle w:val="Normal"/>
        <w:numPr>
          <w:ilvl w:val="0"/>
          <w:numId w:val="3"/>
        </w:numPr>
        <w:jc w:val="both"/>
        <w:rPr/>
      </w:pPr>
      <w:r>
        <w:rPr>
          <w:b/>
          <w:bCs/>
        </w:rPr>
        <w:t>Bereavement Leave</w:t>
      </w:r>
      <w:r>
        <w:rPr/>
        <w:t xml:space="preserve"> – Enron’s current bereavement leave allows employees time off to attend a funeral for a member of their immediate family.  The new policy includes immediate family, as well as members of your household.</w:t>
      </w:r>
    </w:p>
    <w:p>
      <w:pPr>
        <w:pStyle w:val="Normal"/>
        <w:numPr>
          <w:ilvl w:val="0"/>
          <w:numId w:val="3"/>
        </w:numPr>
        <w:jc w:val="both"/>
        <w:rPr/>
      </w:pPr>
      <w:r>
        <w:rPr>
          <w:b/>
          <w:bCs/>
        </w:rPr>
        <w:t>Family Medical Leave/Sick Leave</w:t>
      </w:r>
      <w:r>
        <w:rPr/>
        <w:t xml:space="preserve"> – Effective March 1, 2002, Enron will track employees’ Sick Leave concurrent with their Family Medical Leave Act (FMLA) allocation.  This change is procedural and prevents circumstances where sick leave is exhausted before FMLA leave is applied.</w:t>
      </w:r>
    </w:p>
    <w:p>
      <w:pPr>
        <w:pStyle w:val="Normal"/>
        <w:jc w:val="both"/>
        <w:rPr/>
      </w:pPr>
      <w:r>
        <w:rPr/>
      </w:r>
    </w:p>
    <w:p>
      <w:pPr>
        <w:pStyle w:val="Heading1"/>
        <w:ind w:hanging="0" w:start="0"/>
        <w:jc w:val="both"/>
        <w:rPr/>
      </w:pPr>
      <w:r>
        <w:rPr/>
        <w:t>Employee Programs</w:t>
      </w:r>
    </w:p>
    <w:p>
      <w:pPr>
        <w:pStyle w:val="Normal"/>
        <w:jc w:val="both"/>
        <w:rPr/>
      </w:pPr>
      <w:r>
        <w:rPr/>
        <w:t>Enron has traditionally been a leader in providing programs and services that help to enrich employees’ lives.  For that reason, it is especially difficult to announce the immediate suspension of the following programs.</w:t>
      </w:r>
    </w:p>
    <w:p>
      <w:pPr>
        <w:pStyle w:val="Normal"/>
        <w:numPr>
          <w:ilvl w:val="0"/>
          <w:numId w:val="2"/>
        </w:numPr>
        <w:jc w:val="both"/>
        <w:rPr/>
      </w:pPr>
      <w:r>
        <w:rPr>
          <w:b/>
          <w:bCs/>
        </w:rPr>
        <w:t>ClickAtHome</w:t>
      </w:r>
      <w:r>
        <w:rPr/>
        <w:t xml:space="preserve"> – Enron has suspended the ClickAtHome program.  The program will no longer accept new participants, PC orders, or Internet service orders.  Orders submitted and confirmed prior to November 20, 2001 will be honored.  Enron will also discontinue subsidized Internet service.  Effective January 1, 2002, employees who are currently subscribers to subsidized Internet service will be switched to the regular commercial rate of their service provider and be responsible for the entire cost of the service.</w:t>
      </w:r>
    </w:p>
    <w:p>
      <w:pPr>
        <w:pStyle w:val="Normal"/>
        <w:numPr>
          <w:ilvl w:val="0"/>
          <w:numId w:val="2"/>
        </w:numPr>
        <w:jc w:val="both"/>
        <w:rPr/>
      </w:pPr>
      <w:r>
        <w:rPr>
          <w:b/>
          <w:bCs/>
        </w:rPr>
        <w:t xml:space="preserve">Matching Gifts and Volunteer Incentive Program (VIP) </w:t>
      </w:r>
      <w:r>
        <w:rPr/>
        <w:t>– Enron’s Matching Gift program and VIP grants have been suspended indefinitely.  As we consider the immediate needs of all employees during this trying time, it is appropriate that we discontinue the dollar for dollar match for charitable contributions as well as cash donations recognizing employee’s volunteer hours with non-profit organizations.  Matching Gift or VIP submissions received prior to November 20 will be honored.</w:t>
      </w:r>
    </w:p>
    <w:p>
      <w:pPr>
        <w:pStyle w:val="Normal"/>
        <w:jc w:val="both"/>
        <w:rPr/>
      </w:pPr>
      <w:r>
        <w:rPr/>
      </w:r>
    </w:p>
    <w:p>
      <w:pPr>
        <w:pStyle w:val="Normal"/>
        <w:jc w:val="both"/>
        <w:rPr/>
      </w:pPr>
      <w:r>
        <w:rPr/>
        <w:t xml:space="preserve">We regret the need for some of these changes.  However, we will continue to look for ways to reduce operating expenses through this transition period.  We appreciate your understanding and cooperation.  Please refer to </w:t>
      </w:r>
      <w:hyperlink r:id="rId2">
        <w:r>
          <w:rPr>
            <w:rStyle w:val="Hyperlink"/>
          </w:rPr>
          <w:t>home.enron.com</w:t>
        </w:r>
      </w:hyperlink>
      <w:r>
        <w:rPr/>
        <w:t xml:space="preserve"> (HRweb, ClickAtHome, or Community Relations) for more information on these employee policy and program changes.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home.enro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2001-11-20T17:12:00Z</dcterms:created>
  <dc:creator>rjohnso</dc:creator>
  <dc:description/>
  <dc:language>en-CA</dc:language>
  <cp:lastModifiedBy>tjames</cp:lastModifiedBy>
  <cp:lastPrinted>2001-11-20T12:20:00Z</cp:lastPrinted>
  <dcterms:modified xsi:type="dcterms:W3CDTF">2001-11-20T17:12:00Z</dcterms:modified>
  <cp:revision>2</cp:revision>
  <dc:subject/>
  <dc:title>Policy change notice DRAFT</dc:title>
</cp:coreProperties>
</file>