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header2.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header3.xml" ContentType="application/vnd.openxmlformats-officedocument.wordprocessingml.header+xml"/>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media/image1.png" ContentType="image/png"/>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u w:val="single"/>
        </w:rPr>
      </w:pPr>
      <w:r>
        <w:rPr>
          <w:u w:val="single"/>
        </w:rPr>
        <w:t>Policy Statement</w:t>
      </w:r>
    </w:p>
    <w:p>
      <w:pPr>
        <w:pStyle w:val="Normal"/>
        <w:rPr>
          <w:u w:val="single"/>
        </w:rPr>
      </w:pPr>
      <w:r>
        <w:rPr>
          <w:u w:val="single"/>
        </w:rPr>
      </w:r>
    </w:p>
    <w:p>
      <w:pPr>
        <w:pStyle w:val="Normal"/>
        <w:rPr>
          <w:sz w:val="20"/>
        </w:rPr>
      </w:pPr>
      <w:r>
        <w:rPr>
          <w:sz w:val="20"/>
        </w:rPr>
        <w:t>All Enron business relationships are conducted to provide equal opportunity for all potential vendors, suppliers, and business partners.  In keeping with high standards, good business practices and responsibilities as a good corporate citizen, Enron is committed to providing qualified Minority and Women-Owned Business Enterprises (MWBE) with opportunities to compete for business with Enron either as a primary vendor or supplier or a second tier vendor or supplier through a subcontract to an Enron primary vendor or supplier.</w:t>
      </w:r>
    </w:p>
    <w:p>
      <w:pPr>
        <w:pStyle w:val="Normal"/>
        <w:rPr>
          <w:sz w:val="20"/>
        </w:rPr>
      </w:pPr>
      <w:r>
        <w:rPr>
          <w:sz w:val="20"/>
        </w:rPr>
      </w:r>
    </w:p>
    <w:p>
      <w:pPr>
        <w:pStyle w:val="Normal"/>
        <w:rPr>
          <w:sz w:val="20"/>
        </w:rPr>
      </w:pPr>
      <w:r>
        <w:rPr>
          <w:sz w:val="20"/>
        </w:rPr>
        <w:t xml:space="preserve">Enron’s MWBE Initiatives are not based on set-asides or special treatment, but focus on providing qualified MWBEs with opportunities to compete for or do business with Enron under the same terms, conditions, and quality standards as other vendors, suppliers, or business partners.  </w:t>
      </w:r>
    </w:p>
    <w:p>
      <w:pPr>
        <w:pStyle w:val="Normal"/>
        <w:rPr>
          <w:sz w:val="20"/>
        </w:rPr>
      </w:pPr>
      <w:r>
        <w:rPr>
          <w:sz w:val="20"/>
        </w:rPr>
      </w:r>
    </w:p>
    <w:p>
      <w:pPr>
        <w:pStyle w:val="Heading1"/>
        <w:ind w:hanging="0" w:start="0"/>
        <w:rPr>
          <w:u w:val="single"/>
        </w:rPr>
      </w:pPr>
      <w:r>
        <w:rPr>
          <w:u w:val="single"/>
        </w:rPr>
        <w:t>Application</w:t>
      </w:r>
    </w:p>
    <w:p>
      <w:pPr>
        <w:pStyle w:val="Normal"/>
        <w:rPr>
          <w:sz w:val="20"/>
          <w:u w:val="single"/>
        </w:rPr>
      </w:pPr>
      <w:r>
        <w:rPr>
          <w:sz w:val="20"/>
          <w:u w:val="single"/>
        </w:rPr>
      </w:r>
    </w:p>
    <w:p>
      <w:pPr>
        <w:pStyle w:val="Normal"/>
        <w:rPr>
          <w:sz w:val="20"/>
        </w:rPr>
      </w:pPr>
      <w:r>
        <w:rPr>
          <w:sz w:val="20"/>
        </w:rPr>
        <w:t>To ensure that MWBEs have an opportunity to compete for Enron business opportunities, all Enron business units and functions will adopt and maintain the following practices;</w:t>
      </w:r>
    </w:p>
    <w:p>
      <w:pPr>
        <w:pStyle w:val="Normal"/>
        <w:numPr>
          <w:ilvl w:val="0"/>
          <w:numId w:val="4"/>
        </w:numPr>
        <w:tabs>
          <w:tab w:val="clear" w:pos="720"/>
        </w:tabs>
        <w:spacing w:before="60" w:after="0"/>
        <w:ind w:hanging="360" w:start="360" w:end="0"/>
        <w:rPr>
          <w:sz w:val="20"/>
        </w:rPr>
      </w:pPr>
      <w:r>
        <w:rPr>
          <w:sz w:val="20"/>
        </w:rPr>
        <w:t xml:space="preserve">The initial distribution of all Requests for Proposal (RFP) will include qualified MWBEs to allow them an opportunity to compete for Enron business as primary suppliers.   </w:t>
      </w:r>
    </w:p>
    <w:p>
      <w:pPr>
        <w:pStyle w:val="Normal"/>
        <w:numPr>
          <w:ilvl w:val="0"/>
          <w:numId w:val="4"/>
        </w:numPr>
        <w:tabs>
          <w:tab w:val="clear" w:pos="720"/>
        </w:tabs>
        <w:spacing w:before="60" w:after="0"/>
        <w:ind w:hanging="360" w:start="360" w:end="0"/>
        <w:rPr>
          <w:sz w:val="20"/>
        </w:rPr>
      </w:pPr>
      <w:r>
        <w:rPr>
          <w:sz w:val="20"/>
        </w:rPr>
        <w:t xml:space="preserve">All RFPs will have a diversity section addressing workforce and supplier diversity concerns and to promote the use of MWBEs as subcontractors to primary vendors and suppliers.   </w:t>
      </w:r>
    </w:p>
    <w:p>
      <w:pPr>
        <w:pStyle w:val="Normal"/>
        <w:numPr>
          <w:ilvl w:val="0"/>
          <w:numId w:val="4"/>
        </w:numPr>
        <w:tabs>
          <w:tab w:val="clear" w:pos="720"/>
        </w:tabs>
        <w:spacing w:before="60" w:after="0"/>
        <w:ind w:hanging="360" w:start="360" w:end="0"/>
        <w:rPr>
          <w:sz w:val="20"/>
        </w:rPr>
      </w:pPr>
      <w:r>
        <w:rPr>
          <w:sz w:val="20"/>
        </w:rPr>
        <w:t>All major contracts put out for bid will include a diversity section addressing workforce and supplier diversity concerns and to promote the use of MWBEs as subcontractors to primary vendors and suppliers.</w:t>
      </w:r>
    </w:p>
    <w:p>
      <w:pPr>
        <w:pStyle w:val="Normal"/>
        <w:rPr>
          <w:sz w:val="20"/>
        </w:rPr>
      </w:pPr>
      <w:r>
        <w:rPr>
          <w:sz w:val="20"/>
        </w:rPr>
      </w:r>
    </w:p>
    <w:p>
      <w:pPr>
        <w:pStyle w:val="Normal"/>
        <w:rPr>
          <w:sz w:val="20"/>
        </w:rPr>
      </w:pPr>
      <w:r>
        <w:rPr>
          <w:sz w:val="20"/>
        </w:rPr>
        <w:t>Vendors or suppliers who wish to compete for business opportunities under Enron’s MWBE Initiative must be certified by an Enron-approved certifying entity.</w:t>
      </w:r>
    </w:p>
    <w:p>
      <w:pPr>
        <w:pStyle w:val="Header"/>
        <w:tabs>
          <w:tab w:val="clear" w:pos="4320"/>
          <w:tab w:val="clear" w:pos="8640"/>
        </w:tabs>
        <w:rPr>
          <w:sz w:val="20"/>
        </w:rPr>
      </w:pPr>
      <w:r>
        <w:rPr>
          <w:sz w:val="20"/>
        </w:rPr>
      </w:r>
    </w:p>
    <w:p>
      <w:pPr>
        <w:pStyle w:val="Normal"/>
        <w:rPr>
          <w:sz w:val="20"/>
        </w:rPr>
      </w:pPr>
      <w:r>
        <w:rPr>
          <w:sz w:val="20"/>
        </w:rPr>
        <w:t>Enron defines MWBEs as business enterprises that are at least 51% owned, managed and controlled by one or more members of the following socially or economically disadvantaged groups:  African Americans, Hispanic Americans, Native Americans, Asian Pacific Americans, Asian Indian Americans, and Women.</w:t>
      </w:r>
    </w:p>
    <w:p>
      <w:pPr>
        <w:pStyle w:val="Normal"/>
        <w:rPr>
          <w:sz w:val="20"/>
        </w:rPr>
      </w:pPr>
      <w:r>
        <w:rPr>
          <w:sz w:val="20"/>
        </w:rPr>
      </w:r>
    </w:p>
    <w:p>
      <w:pPr>
        <w:pStyle w:val="Heading1"/>
        <w:ind w:hanging="0" w:start="0"/>
        <w:rPr>
          <w:u w:val="single"/>
        </w:rPr>
      </w:pPr>
      <w:r>
        <w:rPr>
          <w:u w:val="single"/>
        </w:rPr>
        <w:t xml:space="preserve">Responsibility </w:t>
      </w:r>
    </w:p>
    <w:p>
      <w:pPr>
        <w:pStyle w:val="Normal"/>
        <w:rPr>
          <w:sz w:val="20"/>
          <w:u w:val="single"/>
        </w:rPr>
      </w:pPr>
      <w:r>
        <w:rPr>
          <w:sz w:val="20"/>
          <w:u w:val="single"/>
        </w:rPr>
      </w:r>
    </w:p>
    <w:p>
      <w:pPr>
        <w:pStyle w:val="BodyText"/>
        <w:rPr/>
      </w:pPr>
      <w:r>
        <w:rPr/>
        <w:t xml:space="preserve">Management of the MWBE Initiative is the responsibility of Enron’s Minority &amp; Women Business Development (MWBD) department as part of Global Strategic Sourcing.  Specific duties of MWBD include:  </w:t>
      </w:r>
    </w:p>
    <w:p>
      <w:pPr>
        <w:pStyle w:val="Normal"/>
        <w:numPr>
          <w:ilvl w:val="0"/>
          <w:numId w:val="2"/>
        </w:numPr>
        <w:spacing w:before="60" w:after="0"/>
        <w:rPr>
          <w:sz w:val="20"/>
        </w:rPr>
      </w:pPr>
      <w:r>
        <w:rPr>
          <w:sz w:val="20"/>
        </w:rPr>
        <w:t>Establishing MWBE guidelines and recommending overall MWBE goals to Enron executive management,</w:t>
      </w:r>
    </w:p>
    <w:p>
      <w:pPr>
        <w:pStyle w:val="Normal"/>
        <w:numPr>
          <w:ilvl w:val="0"/>
          <w:numId w:val="2"/>
        </w:numPr>
        <w:spacing w:before="60" w:after="0"/>
        <w:rPr>
          <w:sz w:val="20"/>
        </w:rPr>
      </w:pPr>
      <w:r>
        <w:rPr>
          <w:sz w:val="20"/>
        </w:rPr>
        <w:t>Identifying potential MWBE opportunities to fulfill Enron’s needs for goods and services throughout Enron,</w:t>
      </w:r>
    </w:p>
    <w:p>
      <w:pPr>
        <w:pStyle w:val="Normal"/>
        <w:numPr>
          <w:ilvl w:val="0"/>
          <w:numId w:val="2"/>
        </w:numPr>
        <w:spacing w:before="60" w:after="0"/>
        <w:rPr>
          <w:sz w:val="20"/>
        </w:rPr>
      </w:pPr>
      <w:r>
        <w:rPr>
          <w:sz w:val="20"/>
        </w:rPr>
        <w:t>Qualifying MWBEs to fulfill Enron needs for goods and services.</w:t>
      </w:r>
    </w:p>
    <w:p>
      <w:pPr>
        <w:pStyle w:val="Normal"/>
        <w:numPr>
          <w:ilvl w:val="0"/>
          <w:numId w:val="2"/>
        </w:numPr>
        <w:spacing w:before="60" w:after="0"/>
        <w:rPr>
          <w:sz w:val="20"/>
        </w:rPr>
      </w:pPr>
      <w:r>
        <w:rPr>
          <w:sz w:val="20"/>
        </w:rPr>
        <w:t xml:space="preserve">Developing MWBE-related programs (such as Enron sponsored mentoring and workshops) </w:t>
      </w:r>
    </w:p>
    <w:p>
      <w:pPr>
        <w:pStyle w:val="Normal"/>
        <w:numPr>
          <w:ilvl w:val="0"/>
          <w:numId w:val="2"/>
        </w:numPr>
        <w:spacing w:before="60" w:after="0"/>
        <w:rPr>
          <w:sz w:val="20"/>
        </w:rPr>
      </w:pPr>
      <w:r>
        <w:rPr>
          <w:sz w:val="20"/>
        </w:rPr>
        <w:t xml:space="preserve">Assisting business units through the Enron Supply Chain Council with developing spend targets and strategies, </w:t>
      </w:r>
    </w:p>
    <w:p>
      <w:pPr>
        <w:pStyle w:val="Normal"/>
        <w:numPr>
          <w:ilvl w:val="0"/>
          <w:numId w:val="2"/>
        </w:numPr>
        <w:spacing w:before="60" w:after="0"/>
        <w:rPr>
          <w:sz w:val="20"/>
        </w:rPr>
      </w:pPr>
      <w:r>
        <w:rPr>
          <w:sz w:val="20"/>
        </w:rPr>
        <w:t>Quarterly reporting of MWBE direct and indirect spend by Enron business unit, and</w:t>
      </w:r>
    </w:p>
    <w:p>
      <w:pPr>
        <w:pStyle w:val="Normal"/>
        <w:numPr>
          <w:ilvl w:val="0"/>
          <w:numId w:val="2"/>
        </w:numPr>
        <w:spacing w:before="60" w:after="0"/>
        <w:rPr>
          <w:sz w:val="20"/>
        </w:rPr>
      </w:pPr>
      <w:r>
        <w:rPr>
          <w:sz w:val="20"/>
        </w:rPr>
        <w:t>Quarterly reporting of MWBE direct and indirect spend by Enron business partners.</w:t>
      </w:r>
    </w:p>
    <w:p>
      <w:pPr>
        <w:pStyle w:val="Normal"/>
        <w:rPr>
          <w:sz w:val="20"/>
        </w:rPr>
      </w:pPr>
      <w:r>
        <w:rPr>
          <w:sz w:val="20"/>
        </w:rPr>
      </w:r>
    </w:p>
    <w:p>
      <w:pPr>
        <w:pStyle w:val="Normal"/>
        <w:rPr>
          <w:sz w:val="20"/>
        </w:rPr>
      </w:pPr>
      <w:r>
        <w:rPr>
          <w:sz w:val="20"/>
        </w:rPr>
        <w:t xml:space="preserve">Enron Supply Chain Council has responsibility for setting Enron’s short and long range targets for the MWBE Initiative. These targets will be revised annually based on good business practices, responsibilities as a good corporate citizen, and direction from the Office of the Chairman and Enron Executive Committee.  </w:t>
      </w:r>
    </w:p>
    <w:p>
      <w:pPr>
        <w:pStyle w:val="Normal"/>
        <w:rPr>
          <w:sz w:val="20"/>
        </w:rPr>
      </w:pPr>
      <w:r>
        <w:rPr>
          <w:sz w:val="20"/>
        </w:rPr>
      </w:r>
    </w:p>
    <w:p>
      <w:pPr>
        <w:pStyle w:val="Normal"/>
        <w:rPr>
          <w:sz w:val="20"/>
        </w:rPr>
      </w:pPr>
      <w:r>
        <w:rPr>
          <w:sz w:val="20"/>
        </w:rPr>
      </w:r>
    </w:p>
    <w:p>
      <w:pPr>
        <w:pStyle w:val="Heading1"/>
        <w:ind w:hanging="0" w:start="0"/>
        <w:rPr>
          <w:sz w:val="20"/>
          <w:u w:val="single"/>
        </w:rPr>
      </w:pPr>
      <w:r>
        <w:rPr>
          <w:sz w:val="20"/>
          <w:u w:val="single"/>
        </w:rPr>
      </w:r>
    </w:p>
    <w:p>
      <w:pPr>
        <w:pStyle w:val="Heading1"/>
        <w:ind w:hanging="0" w:start="0"/>
        <w:rPr>
          <w:u w:val="single"/>
        </w:rPr>
      </w:pPr>
      <w:r>
        <w:rPr>
          <w:u w:val="single"/>
        </w:rPr>
      </w:r>
    </w:p>
    <w:p>
      <w:pPr>
        <w:sectPr>
          <w:headerReference w:type="default" r:id="rId2"/>
          <w:footerReference w:type="default" r:id="rId3"/>
          <w:type w:val="nextPage"/>
          <w:pgSz w:w="12240" w:h="15840"/>
          <w:pgMar w:left="1440" w:right="1440" w:gutter="0" w:header="360" w:top="1440" w:footer="360" w:bottom="1440"/>
          <w:pgNumType w:start="1" w:fmt="decimal"/>
          <w:formProt w:val="false"/>
          <w:textDirection w:val="lrTb"/>
          <w:docGrid w:type="default" w:linePitch="360" w:charSpace="0"/>
        </w:sectPr>
        <w:pStyle w:val="Heading1"/>
        <w:ind w:hanging="0" w:start="0"/>
        <w:rPr>
          <w:u w:val="single"/>
        </w:rPr>
      </w:pPr>
      <w:r>
        <w:rPr>
          <w:u w:val="single"/>
        </w:rPr>
      </w:r>
    </w:p>
    <w:p>
      <w:pPr>
        <w:pStyle w:val="Heading9"/>
        <w:ind w:hanging="0" w:start="0"/>
        <w:rPr>
          <w:caps/>
        </w:rPr>
      </w:pPr>
      <w:r>
        <w:rPr>
          <w:caps/>
        </w:rPr>
        <w:t>Standard language FOR RFPs and contracts put out for bid in excess of $100,000</w:t>
      </w:r>
    </w:p>
    <w:p>
      <w:pPr>
        <w:pStyle w:val="Normal"/>
        <w:jc w:val="both"/>
        <w:rPr>
          <w:caps/>
          <w:sz w:val="20"/>
        </w:rPr>
      </w:pPr>
      <w:r>
        <w:rPr>
          <w:caps/>
          <w:sz w:val="20"/>
        </w:rPr>
      </w:r>
    </w:p>
    <w:p>
      <w:pPr>
        <w:pStyle w:val="Normal"/>
        <w:jc w:val="both"/>
        <w:rPr>
          <w:sz w:val="20"/>
        </w:rPr>
      </w:pPr>
      <w:r>
        <w:rPr>
          <w:sz w:val="20"/>
        </w:rPr>
        <w:t>Diversity section language addressing workforce and supplier diversity concerns and to promote the use of MWBEs as subcontractors to primary vendors and suppliers to be included in Enron RFP and all Enron contracts put out for bid in excess of $100,000 includes, but is not limited to:</w:t>
      </w:r>
    </w:p>
    <w:p>
      <w:pPr>
        <w:pStyle w:val="Normal"/>
        <w:numPr>
          <w:ilvl w:val="0"/>
          <w:numId w:val="3"/>
        </w:numPr>
        <w:spacing w:before="60" w:after="0"/>
        <w:rPr>
          <w:color w:val="000000"/>
          <w:sz w:val="20"/>
        </w:rPr>
      </w:pPr>
      <w:r>
        <w:rPr>
          <w:color w:val="000000"/>
          <w:sz w:val="20"/>
        </w:rPr>
        <w:t>State your commitment to supplier diversity in your organization.</w:t>
      </w:r>
    </w:p>
    <w:p>
      <w:pPr>
        <w:pStyle w:val="Normal"/>
        <w:numPr>
          <w:ilvl w:val="0"/>
          <w:numId w:val="3"/>
        </w:numPr>
        <w:spacing w:before="60" w:after="0"/>
        <w:rPr>
          <w:color w:val="000000"/>
          <w:sz w:val="20"/>
        </w:rPr>
      </w:pPr>
      <w:r>
        <w:rPr>
          <w:color w:val="000000"/>
          <w:sz w:val="20"/>
        </w:rPr>
        <w:t>Do you have a formal supplier diversity program with dedicated resources, such as a program manager and tracking system?</w:t>
      </w:r>
    </w:p>
    <w:p>
      <w:pPr>
        <w:pStyle w:val="Normal"/>
        <w:numPr>
          <w:ilvl w:val="0"/>
          <w:numId w:val="3"/>
        </w:numPr>
        <w:spacing w:before="60" w:after="0"/>
        <w:rPr>
          <w:color w:val="000000"/>
          <w:sz w:val="20"/>
        </w:rPr>
      </w:pPr>
      <w:r>
        <w:rPr>
          <w:color w:val="000000"/>
          <w:sz w:val="20"/>
        </w:rPr>
        <w:t>What percent of your total spend is done with minority and women-owned businesses?</w:t>
      </w:r>
    </w:p>
    <w:p>
      <w:pPr>
        <w:pStyle w:val="Normal"/>
        <w:numPr>
          <w:ilvl w:val="0"/>
          <w:numId w:val="3"/>
        </w:numPr>
        <w:spacing w:before="60" w:after="0"/>
        <w:rPr>
          <w:color w:val="000000"/>
          <w:sz w:val="20"/>
        </w:rPr>
      </w:pPr>
      <w:r>
        <w:rPr>
          <w:color w:val="000000"/>
          <w:sz w:val="20"/>
        </w:rPr>
        <w:t>Do you have any second tier agreements with your customers to use MWBEs (Minority Women Business Enterprise)?</w:t>
      </w:r>
    </w:p>
    <w:p>
      <w:pPr>
        <w:pStyle w:val="Normal"/>
        <w:numPr>
          <w:ilvl w:val="0"/>
          <w:numId w:val="3"/>
        </w:numPr>
        <w:spacing w:before="60" w:after="0"/>
        <w:rPr>
          <w:color w:val="000000"/>
          <w:sz w:val="20"/>
        </w:rPr>
      </w:pPr>
      <w:r>
        <w:rPr>
          <w:color w:val="000000"/>
          <w:sz w:val="20"/>
        </w:rPr>
        <w:t>Would you agree to use MWBEs for 10% of the spend on the Enron account?  If not, what do you believe is a reasonable goal given the current marketplace?</w:t>
      </w:r>
    </w:p>
    <w:p>
      <w:pPr>
        <w:pStyle w:val="Normal"/>
        <w:numPr>
          <w:ilvl w:val="0"/>
          <w:numId w:val="3"/>
        </w:numPr>
        <w:spacing w:before="60" w:after="0"/>
        <w:rPr>
          <w:color w:val="000000"/>
          <w:sz w:val="20"/>
        </w:rPr>
      </w:pPr>
      <w:r>
        <w:rPr>
          <w:color w:val="000000"/>
          <w:sz w:val="20"/>
        </w:rPr>
        <w:t>Would you agree to report MWBE spend quarterly on the Enron account?</w:t>
      </w:r>
    </w:p>
    <w:p>
      <w:pPr>
        <w:pStyle w:val="Normal"/>
        <w:numPr>
          <w:ilvl w:val="0"/>
          <w:numId w:val="3"/>
        </w:numPr>
        <w:spacing w:before="60" w:after="0"/>
        <w:rPr>
          <w:color w:val="000000"/>
          <w:sz w:val="20"/>
        </w:rPr>
      </w:pPr>
      <w:r>
        <w:rPr>
          <w:color w:val="000000"/>
          <w:sz w:val="20"/>
        </w:rPr>
        <w:t>Disclose the MWBEs used on the Enron account.</w:t>
      </w:r>
    </w:p>
    <w:p>
      <w:pPr>
        <w:pStyle w:val="Normal"/>
        <w:numPr>
          <w:ilvl w:val="0"/>
          <w:numId w:val="3"/>
        </w:numPr>
        <w:spacing w:before="60" w:after="0"/>
        <w:rPr>
          <w:color w:val="000000"/>
          <w:sz w:val="20"/>
        </w:rPr>
      </w:pPr>
      <w:r>
        <w:rPr>
          <w:color w:val="000000"/>
          <w:sz w:val="20"/>
        </w:rPr>
        <w:t>Would you agree to be subject to occasional audits of MWBEs used on the Enron account?</w:t>
      </w:r>
    </w:p>
    <w:p>
      <w:pPr>
        <w:pStyle w:val="Heading1"/>
        <w:numPr>
          <w:ilvl w:val="0"/>
          <w:numId w:val="3"/>
        </w:numPr>
        <w:rPr>
          <w:b w:val="false"/>
          <w:bCs/>
          <w:u w:val="single"/>
        </w:rPr>
      </w:pPr>
      <w:r>
        <w:rPr>
          <w:b w:val="false"/>
          <w:bCs/>
        </w:rPr>
        <w:t>Describe your approach to workforce diversity and practices used within your organization.  Are you in compliance with all EEO/AAP/OFCCP regulations?</w:t>
      </w:r>
    </w:p>
    <w:sectPr>
      <w:headerReference w:type="default" r:id="rId4"/>
      <w:headerReference w:type="first" r:id="rId5"/>
      <w:footerReference w:type="default" r:id="rId6"/>
      <w:footerReference w:type="first" r:id="rId7"/>
      <w:type w:val="nextPage"/>
      <w:pgSz w:w="12240" w:h="15840"/>
      <w:pgMar w:left="1440" w:right="1080" w:gutter="0" w:header="360" w:top="1440" w:footer="36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12" w:space="1" w:color="000000"/>
      </w:pBdr>
      <w:rPr/>
    </w:pPr>
    <w:r>
      <w:rPr/>
    </w:r>
  </w:p>
  <w:p>
    <w:pPr>
      <w:pStyle w:val="Footer"/>
      <w:tabs>
        <w:tab w:val="clear" w:pos="4320"/>
        <w:tab w:val="clear" w:pos="8640"/>
        <w:tab w:val="center" w:pos="4680" w:leader="none"/>
        <w:tab w:val="right" w:pos="9360" w:leader="none"/>
      </w:tabs>
      <w:rPr/>
    </w:pPr>
    <w:r>
      <w:rPr>
        <w:b/>
      </w:rPr>
      <w:tab/>
      <w:t xml:space="preserve">Page </w:t>
    </w:r>
    <w:r>
      <w:rPr>
        <w:rStyle w:val="PageNumber"/>
        <w:b/>
      </w:rPr>
      <w:fldChar w:fldCharType="begin"/>
    </w:r>
    <w:r>
      <w:rPr>
        <w:rStyle w:val="PageNumber"/>
        <w:b/>
      </w:rPr>
      <w:instrText xml:space="preserve"> PAGE </w:instrText>
    </w:r>
    <w:r>
      <w:rPr>
        <w:rStyle w:val="PageNumber"/>
        <w:b/>
      </w:rPr>
      <w:fldChar w:fldCharType="separate"/>
    </w:r>
    <w:r>
      <w:rPr>
        <w:rStyle w:val="PageNumber"/>
        <w:b/>
      </w:rPr>
      <w:t>1</w:t>
    </w:r>
    <w:r>
      <w:rPr>
        <w:rStyle w:val="PageNumber"/>
        <w:b/>
      </w:rPr>
      <w:fldChar w:fldCharType="end"/>
    </w:r>
    <w:r>
      <w:rPr>
        <w:b/>
      </w:rPr>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12" w:space="1" w:color="000000"/>
      </w:pBdr>
      <w:rPr/>
    </w:pPr>
    <w:r>
      <w:rPr/>
    </w:r>
  </w:p>
  <w:p>
    <w:pPr>
      <w:pStyle w:val="Footer"/>
      <w:tabs>
        <w:tab w:val="clear" w:pos="4320"/>
        <w:tab w:val="clear" w:pos="8640"/>
        <w:tab w:val="center" w:pos="4680" w:leader="none"/>
        <w:tab w:val="right" w:pos="9360" w:leader="none"/>
      </w:tabs>
      <w:rPr/>
    </w:pPr>
    <w:r>
      <w:rPr>
        <w:b/>
      </w:rPr>
      <w:tab/>
      <w:t xml:space="preserve">Page </w:t>
    </w:r>
    <w:r>
      <w:rPr>
        <w:rStyle w:val="PageNumber"/>
        <w:b/>
      </w:rPr>
      <w:fldChar w:fldCharType="begin"/>
    </w:r>
    <w:r>
      <w:rPr>
        <w:rStyle w:val="PageNumber"/>
        <w:b/>
      </w:rPr>
      <w:instrText xml:space="preserve"> PAGE </w:instrText>
    </w:r>
    <w:r>
      <w:rPr>
        <w:rStyle w:val="PageNumber"/>
        <w:b/>
      </w:rPr>
      <w:fldChar w:fldCharType="separate"/>
    </w:r>
    <w:r>
      <w:rPr>
        <w:rStyle w:val="PageNumber"/>
        <w:b/>
      </w:rPr>
      <w:t>1</w:t>
    </w:r>
    <w:r>
      <w:rPr>
        <w:rStyle w:val="PageNumber"/>
        <w:b/>
      </w:rPr>
      <w:fldChar w:fldCharType="end"/>
    </w:r>
    <w:r>
      <w:rPr>
        <w:b/>
      </w:rPr>
      <w:tab/>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4680" w:leader="none"/>
        <w:tab w:val="left" w:pos="7020" w:leader="none"/>
        <w:tab w:val="right" w:pos="9720" w:leader="none"/>
      </w:tabs>
      <w:rPr/>
    </w:pPr>
    <w:r>
      <w:drawing>
        <wp:anchor behindDoc="1" distT="0" distB="0" distL="114935" distR="114935" simplePos="0" locked="0" layoutInCell="1" allowOverlap="1" relativeHeight="2">
          <wp:simplePos x="0" y="0"/>
          <wp:positionH relativeFrom="column">
            <wp:posOffset>0</wp:posOffset>
          </wp:positionH>
          <wp:positionV relativeFrom="paragraph">
            <wp:posOffset>635</wp:posOffset>
          </wp:positionV>
          <wp:extent cx="457200" cy="483870"/>
          <wp:effectExtent l="0" t="0" r="0" b="0"/>
          <wp:wrapNone/>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rcRect l="-19" t="-19" r="-19" b="-19"/>
                  <a:stretch>
                    <a:fillRect/>
                  </a:stretch>
                </pic:blipFill>
                <pic:spPr bwMode="auto">
                  <a:xfrm>
                    <a:off x="0" y="0"/>
                    <a:ext cx="457200" cy="483870"/>
                  </a:xfrm>
                  <a:prstGeom prst="rect">
                    <a:avLst/>
                  </a:prstGeom>
                  <a:noFill/>
                </pic:spPr>
              </pic:pic>
            </a:graphicData>
          </a:graphic>
        </wp:anchor>
      </w:drawing>
    </w:r>
    <w:r>
      <w:rPr/>
      <w:tab/>
      <w:tab/>
    </w:r>
    <w:r>
      <w:rPr>
        <w:b/>
      </w:rPr>
      <w:t>Supplier Diversity Policy</w:t>
    </w:r>
  </w:p>
  <w:p>
    <w:pPr>
      <w:pStyle w:val="Header"/>
      <w:tabs>
        <w:tab w:val="clear" w:pos="4320"/>
        <w:tab w:val="clear" w:pos="8640"/>
        <w:tab w:val="center" w:pos="4680" w:leader="none"/>
        <w:tab w:val="left" w:pos="7020" w:leader="none"/>
        <w:tab w:val="right" w:pos="9720" w:leader="none"/>
      </w:tabs>
      <w:rPr>
        <w:b/>
      </w:rPr>
    </w:pPr>
    <w:r>
      <w:rPr>
        <w:b/>
      </w:rPr>
      <w:tab/>
      <w:tab/>
      <w:t>Issued: August 13, 2000</w:t>
    </w:r>
  </w:p>
  <w:p>
    <w:pPr>
      <w:pStyle w:val="Header"/>
      <w:tabs>
        <w:tab w:val="clear" w:pos="4320"/>
        <w:tab w:val="clear" w:pos="8640"/>
        <w:tab w:val="center" w:pos="4680" w:leader="none"/>
        <w:tab w:val="left" w:pos="7020" w:leader="none"/>
        <w:tab w:val="right" w:pos="9360" w:leader="none"/>
      </w:tabs>
      <w:rPr>
        <w:b/>
      </w:rPr>
    </w:pPr>
    <w:r>
      <w:rPr>
        <w:b/>
      </w:rPr>
      <w:tab/>
      <w:tab/>
      <w:t>Revised: Sept.  8, 2000</w:t>
    </w:r>
  </w:p>
  <w:p>
    <w:pPr>
      <w:pStyle w:val="Header"/>
      <w:tabs>
        <w:tab w:val="clear" w:pos="4320"/>
        <w:tab w:val="clear" w:pos="8640"/>
        <w:tab w:val="center" w:pos="4680" w:leader="none"/>
        <w:tab w:val="left" w:pos="7020" w:leader="none"/>
        <w:tab w:val="right" w:pos="9360" w:leader="none"/>
      </w:tabs>
      <w:rPr>
        <w:b/>
      </w:rPr>
    </w:pPr>
    <w:r>
      <w:rPr>
        <w:b/>
      </w:rPr>
      <w:tab/>
      <w:tab/>
      <w:t>Version:  1</w:t>
    </w:r>
  </w:p>
  <w:p>
    <w:pPr>
      <w:pStyle w:val="Header"/>
      <w:pBdr>
        <w:bottom w:val="single" w:sz="4" w:space="1" w:color="000000"/>
      </w:pBdr>
      <w:tabs>
        <w:tab w:val="clear" w:pos="4320"/>
        <w:tab w:val="clear" w:pos="8640"/>
        <w:tab w:val="center" w:pos="4680" w:leader="none"/>
        <w:tab w:val="left" w:pos="7020" w:leader="none"/>
        <w:tab w:val="right" w:pos="9360" w:leader="none"/>
      </w:tabs>
      <w:rPr>
        <w:b/>
      </w:rPr>
    </w:pPr>
    <w:r>
      <w:rPr>
        <w:b/>
      </w:rPr>
      <w:tab/>
      <w:tab/>
    </w:r>
  </w:p>
  <w:p>
    <w:pPr>
      <w:pStyle w:val="Header"/>
      <w:tabs>
        <w:tab w:val="clear" w:pos="4320"/>
        <w:tab w:val="clear" w:pos="8640"/>
        <w:tab w:val="center" w:pos="4680" w:leader="none"/>
        <w:tab w:val="left" w:pos="7020" w:leader="none"/>
        <w:tab w:val="right" w:pos="9360" w:leader="none"/>
      </w:tabs>
      <w:rPr>
        <w:b/>
      </w:rPr>
    </w:pPr>
    <w:r>
      <w:rPr>
        <w:b/>
      </w:rPr>
      <w:tab/>
      <w:tab/>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4680" w:leader="none"/>
        <w:tab w:val="left" w:pos="7020" w:leader="none"/>
        <w:tab w:val="right" w:pos="9720" w:leader="none"/>
      </w:tabs>
      <w:rPr/>
    </w:pPr>
    <w:r>
      <w:drawing>
        <wp:anchor behindDoc="1" distT="0" distB="0" distL="114935" distR="114935" simplePos="0" locked="0" layoutInCell="1" allowOverlap="1" relativeHeight="3">
          <wp:simplePos x="0" y="0"/>
          <wp:positionH relativeFrom="column">
            <wp:posOffset>0</wp:posOffset>
          </wp:positionH>
          <wp:positionV relativeFrom="paragraph">
            <wp:posOffset>635</wp:posOffset>
          </wp:positionV>
          <wp:extent cx="457200" cy="483870"/>
          <wp:effectExtent l="0" t="0" r="0" b="0"/>
          <wp:wrapNone/>
          <wp:docPr id="2" name="Image1 Copy 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Copy 1" descr="" title=""/>
                  <pic:cNvPicPr>
                    <a:picLocks noChangeAspect="1" noChangeArrowheads="1"/>
                  </pic:cNvPicPr>
                </pic:nvPicPr>
                <pic:blipFill>
                  <a:blip r:embed="rId1"/>
                  <a:srcRect l="-19" t="-19" r="-19" b="-19"/>
                  <a:stretch>
                    <a:fillRect/>
                  </a:stretch>
                </pic:blipFill>
                <pic:spPr bwMode="auto">
                  <a:xfrm>
                    <a:off x="0" y="0"/>
                    <a:ext cx="457200" cy="483870"/>
                  </a:xfrm>
                  <a:prstGeom prst="rect">
                    <a:avLst/>
                  </a:prstGeom>
                  <a:noFill/>
                </pic:spPr>
              </pic:pic>
            </a:graphicData>
          </a:graphic>
        </wp:anchor>
      </w:drawing>
    </w:r>
    <w:r>
      <w:rPr/>
      <w:tab/>
      <w:tab/>
    </w:r>
    <w:r>
      <w:rPr>
        <w:b/>
      </w:rPr>
      <w:t>Supplier Diversity Policy</w:t>
    </w:r>
  </w:p>
  <w:p>
    <w:pPr>
      <w:pStyle w:val="Header"/>
      <w:tabs>
        <w:tab w:val="clear" w:pos="4320"/>
        <w:tab w:val="clear" w:pos="8640"/>
        <w:tab w:val="center" w:pos="4680" w:leader="none"/>
        <w:tab w:val="left" w:pos="7020" w:leader="none"/>
        <w:tab w:val="right" w:pos="9720" w:leader="none"/>
      </w:tabs>
      <w:rPr>
        <w:b/>
      </w:rPr>
    </w:pPr>
    <w:r>
      <w:rPr>
        <w:b/>
      </w:rPr>
      <w:tab/>
      <w:tab/>
      <w:t>Issued: August 13, 2000</w:t>
    </w:r>
  </w:p>
  <w:p>
    <w:pPr>
      <w:pStyle w:val="Header"/>
      <w:tabs>
        <w:tab w:val="clear" w:pos="4320"/>
        <w:tab w:val="clear" w:pos="8640"/>
        <w:tab w:val="center" w:pos="4680" w:leader="none"/>
        <w:tab w:val="left" w:pos="7020" w:leader="none"/>
        <w:tab w:val="right" w:pos="9360" w:leader="none"/>
      </w:tabs>
      <w:rPr>
        <w:b/>
      </w:rPr>
    </w:pPr>
    <w:r>
      <w:rPr>
        <w:b/>
      </w:rPr>
      <w:tab/>
      <w:tab/>
      <w:t>Revised: Sept.  8, 2000</w:t>
    </w:r>
  </w:p>
  <w:p>
    <w:pPr>
      <w:pStyle w:val="Header"/>
      <w:tabs>
        <w:tab w:val="clear" w:pos="4320"/>
        <w:tab w:val="clear" w:pos="8640"/>
        <w:tab w:val="center" w:pos="4680" w:leader="none"/>
        <w:tab w:val="left" w:pos="7020" w:leader="none"/>
        <w:tab w:val="right" w:pos="9360" w:leader="none"/>
      </w:tabs>
      <w:rPr>
        <w:b/>
      </w:rPr>
    </w:pPr>
    <w:r>
      <w:rPr>
        <w:b/>
      </w:rPr>
      <w:tab/>
      <w:tab/>
      <w:t>Version:  1</w:t>
    </w:r>
  </w:p>
  <w:p>
    <w:pPr>
      <w:pStyle w:val="Header"/>
      <w:pBdr>
        <w:bottom w:val="single" w:sz="4" w:space="1" w:color="000000"/>
      </w:pBdr>
      <w:tabs>
        <w:tab w:val="clear" w:pos="4320"/>
        <w:tab w:val="clear" w:pos="8640"/>
        <w:tab w:val="center" w:pos="4680" w:leader="none"/>
        <w:tab w:val="left" w:pos="7020" w:leader="none"/>
        <w:tab w:val="right" w:pos="9360" w:leader="none"/>
      </w:tabs>
      <w:rPr>
        <w:b/>
      </w:rPr>
    </w:pPr>
    <w:r>
      <w:rPr>
        <w:b/>
      </w:rPr>
      <w:tab/>
      <w:tab/>
    </w:r>
  </w:p>
  <w:p>
    <w:pPr>
      <w:pStyle w:val="Header"/>
      <w:tabs>
        <w:tab w:val="clear" w:pos="4320"/>
        <w:tab w:val="clear" w:pos="8640"/>
        <w:tab w:val="center" w:pos="4680" w:leader="none"/>
        <w:tab w:val="left" w:pos="7020" w:leader="none"/>
        <w:tab w:val="right" w:pos="9360" w:leader="none"/>
      </w:tabs>
      <w:rPr>
        <w:b/>
      </w:rPr>
    </w:pPr>
    <w:r>
      <w:rPr>
        <w:b/>
      </w:rPr>
      <w:tab/>
      <w:tab/>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sz w:val="20"/>
      <w:szCs w:val="20"/>
    </w:rPr>
  </w:style>
  <w:style w:type="paragraph" w:styleId="Heading9">
    <w:name w:val="heading 9"/>
    <w:basedOn w:val="Normal"/>
    <w:next w:val="Normal"/>
    <w:qFormat/>
    <w:pPr>
      <w:keepNext w:val="true"/>
      <w:numPr>
        <w:ilvl w:val="8"/>
        <w:numId w:val="1"/>
      </w:numPr>
      <w:jc w:val="both"/>
      <w:outlineLvl w:val="8"/>
    </w:pPr>
    <w:rPr>
      <w:b/>
      <w:sz w:val="20"/>
      <w:szCs w:val="20"/>
      <w:u w:val="single"/>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0"/>
      <w:szCs w:val="20"/>
    </w:rPr>
  </w:style>
  <w:style w:type="paragraph" w:styleId="Footer">
    <w:name w:val="footer"/>
    <w:basedOn w:val="Normal"/>
    <w:pPr>
      <w:tabs>
        <w:tab w:val="clear" w:pos="720"/>
        <w:tab w:val="center" w:pos="4320" w:leader="none"/>
        <w:tab w:val="right" w:pos="8640" w:leader="none"/>
      </w:tabs>
    </w:pPr>
    <w:rPr>
      <w:sz w:val="20"/>
      <w:szCs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2000-10-09T16:09:00Z</dcterms:created>
  <dc:creator>llimon</dc:creator>
  <dc:description/>
  <dc:language>en-CA</dc:language>
  <cp:lastModifiedBy>llimon</cp:lastModifiedBy>
  <dcterms:modified xsi:type="dcterms:W3CDTF">2000-10-09T16:23:00Z</dcterms:modified>
  <cp:revision>1</cp:revision>
  <dc:subject/>
  <dc:title>Policy Statement</dc:title>
</cp:coreProperties>
</file>