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Normal"/>
        <w:rPr/>
      </w:pPr>
      <w:r>
        <w:rPr/>
      </w:r>
    </w:p>
    <w:p>
      <w:pPr>
        <w:pStyle w:val="Normal"/>
        <w:rPr/>
      </w:pPr>
      <w:r>
        <w:rPr/>
      </w:r>
    </w:p>
    <w:p>
      <w:pPr>
        <w:pStyle w:val="Normal"/>
        <w:rPr>
          <w:sz w:val="28"/>
          <w:u w:val="single"/>
        </w:rPr>
      </w:pPr>
      <w:r>
        <w:rPr>
          <w:sz w:val="28"/>
          <w:u w:val="single"/>
        </w:rPr>
        <w:t>Disclaimer:</w:t>
      </w:r>
    </w:p>
    <w:p>
      <w:pPr>
        <w:pStyle w:val="BodyText"/>
        <w:numPr>
          <w:ilvl w:val="0"/>
          <w:numId w:val="2"/>
        </w:numPr>
        <w:rPr>
          <w:sz w:val="24"/>
        </w:rPr>
      </w:pPr>
      <w:r>
        <w:rPr>
          <w:sz w:val="24"/>
        </w:rPr>
        <w:t xml:space="preserve">None of the key risk management functions (including other parts of RAC or MRM top management) have reviewed this draft yet; the proposals herein do not necessarily represent their recommendations.  Reviews will take place this week and comments and changes will be incorporated into the next draft.  </w:t>
      </w:r>
    </w:p>
    <w:p>
      <w:pPr>
        <w:pStyle w:val="BodyText"/>
        <w:numPr>
          <w:ilvl w:val="0"/>
          <w:numId w:val="2"/>
        </w:numPr>
        <w:rPr>
          <w:b w:val="false"/>
          <w:bCs w:val="false"/>
          <w:i/>
          <w:i/>
          <w:iCs/>
        </w:rPr>
      </w:pPr>
      <w:r>
        <w:rPr>
          <w:b w:val="false"/>
          <w:bCs w:val="false"/>
          <w:i/>
          <w:iCs/>
          <w:sz w:val="24"/>
        </w:rPr>
        <w:t>Most of this was written at nights and on weekends, not the optimum times for mental acuity.  No one should take offense to any proposals; any and all comments and feedback are welcome.</w:t>
      </w:r>
    </w:p>
    <w:p>
      <w:pPr>
        <w:pStyle w:val="Header"/>
        <w:tabs>
          <w:tab w:val="clear" w:pos="4320"/>
          <w:tab w:val="clear" w:pos="8640"/>
        </w:tabs>
        <w:rPr>
          <w:b/>
          <w:bCs/>
          <w:i/>
          <w:i/>
          <w:iCs/>
        </w:rPr>
      </w:pPr>
      <w:r>
        <w:rPr>
          <w:b/>
          <w:bCs/>
          <w:i/>
          <w:iCs/>
        </w:rPr>
      </w:r>
    </w:p>
    <w:p>
      <w:pPr>
        <w:pStyle w:val="Normal"/>
        <w:rPr/>
      </w:pPr>
      <w:r>
        <w:rPr/>
      </w:r>
    </w:p>
    <w:p>
      <w:pPr>
        <w:pStyle w:val="Normal"/>
        <w:rPr/>
      </w:pPr>
      <w:r>
        <w:rPr/>
      </w:r>
    </w:p>
    <w:p>
      <w:pPr>
        <w:pStyle w:val="Heading2"/>
        <w:ind w:hanging="0" w:start="0"/>
        <w:rPr/>
      </w:pPr>
      <w:r>
        <w:rPr/>
        <w:t>Overview</w:t>
      </w:r>
    </w:p>
    <w:p>
      <w:pPr>
        <w:pStyle w:val="Normal"/>
        <w:numPr>
          <w:ilvl w:val="0"/>
          <w:numId w:val="3"/>
        </w:numPr>
        <w:rPr/>
      </w:pPr>
      <w:r>
        <w:rPr/>
        <w:t xml:space="preserve">Enterprise wide risk management covers entire company, economic exposures, not just mark to market trading exposures; </w:t>
      </w:r>
    </w:p>
    <w:p>
      <w:pPr>
        <w:pStyle w:val="Normal"/>
        <w:numPr>
          <w:ilvl w:val="0"/>
          <w:numId w:val="3"/>
        </w:numPr>
        <w:rPr/>
      </w:pPr>
      <w:r>
        <w:rPr/>
        <w:t>Ties risk management process to risk capital allocation process</w:t>
      </w:r>
    </w:p>
    <w:p>
      <w:pPr>
        <w:pStyle w:val="Normal"/>
        <w:numPr>
          <w:ilvl w:val="0"/>
          <w:numId w:val="3"/>
        </w:numPr>
        <w:rPr/>
      </w:pPr>
      <w:r>
        <w:rPr/>
        <w:t>Incorporates and addresses all key functions in the company’s risk management framework - no change to these functions, other than Risk Management Operations’ additional reporting requirements for expanded scope and new Portfolios</w:t>
      </w:r>
    </w:p>
    <w:p>
      <w:pPr>
        <w:pStyle w:val="Normal"/>
        <w:numPr>
          <w:ilvl w:val="0"/>
          <w:numId w:val="3"/>
        </w:numPr>
        <w:rPr/>
      </w:pPr>
      <w:r>
        <w:rPr/>
        <w:t>Incorporates Credit Risk Management Policy and Transaction Approval Process</w:t>
      </w:r>
    </w:p>
    <w:p>
      <w:pPr>
        <w:pStyle w:val="Normal"/>
        <w:numPr>
          <w:ilvl w:val="0"/>
          <w:numId w:val="3"/>
        </w:numPr>
        <w:rPr/>
      </w:pPr>
      <w:r>
        <w:rPr/>
        <w:t xml:space="preserve">Incorporates Operational Risk into the risk capital allocation process </w:t>
      </w:r>
    </w:p>
    <w:p>
      <w:pPr>
        <w:pStyle w:val="Normal"/>
        <w:numPr>
          <w:ilvl w:val="0"/>
          <w:numId w:val="3"/>
        </w:numPr>
        <w:rPr/>
      </w:pPr>
      <w:r>
        <w:rPr/>
        <w:t>Market Risk Limit structure modified at the BOD level into concentration limits, and limit authority below that is delegated to senior management</w:t>
      </w:r>
    </w:p>
    <w:p>
      <w:pPr>
        <w:pStyle w:val="Normal"/>
        <w:numPr>
          <w:ilvl w:val="0"/>
          <w:numId w:val="3"/>
        </w:numPr>
        <w:rPr/>
      </w:pPr>
      <w:r>
        <w:rPr/>
        <w:t>Provides authority for a Risk Committee - really just Buy and Whalley, so substantively no significant difference in existing approval process; need to address what Skilling still needs to approve</w:t>
      </w:r>
    </w:p>
    <w:p>
      <w:pPr>
        <w:pStyle w:val="Normal"/>
        <w:numPr>
          <w:ilvl w:val="0"/>
          <w:numId w:val="3"/>
        </w:numPr>
        <w:rPr/>
      </w:pPr>
      <w:r>
        <w:rPr/>
        <w:t>Defines risk management roles and responsibilities per PWC benchmark recommendation</w:t>
      </w:r>
      <w:r>
        <w:br w:type="page"/>
      </w:r>
    </w:p>
    <w:p>
      <w:pPr>
        <w:pStyle w:val="Normal"/>
        <w:rPr/>
      </w:pPr>
      <w:r>
        <w:rPr/>
      </w:r>
    </w:p>
    <w:p>
      <w:pPr>
        <w:pStyle w:val="Normal"/>
        <w:rPr/>
      </w:pPr>
      <w:r>
        <w:rPr/>
      </w:r>
    </w:p>
    <w:p>
      <w:pPr>
        <w:pStyle w:val="Heading2"/>
        <w:ind w:hanging="0" w:start="0"/>
        <w:rPr/>
      </w:pPr>
      <w:r>
        <w:rPr/>
        <w:t>Details</w:t>
      </w:r>
    </w:p>
    <w:p>
      <w:pPr>
        <w:pStyle w:val="Normal"/>
        <w:numPr>
          <w:ilvl w:val="0"/>
          <w:numId w:val="3"/>
        </w:numPr>
        <w:rPr/>
      </w:pPr>
      <w:r>
        <w:rPr/>
        <w:t>Credit Risk Management - work with Bradford/Harris to incorporate existing policy into new format</w:t>
      </w:r>
    </w:p>
    <w:p>
      <w:pPr>
        <w:pStyle w:val="Normal"/>
        <w:numPr>
          <w:ilvl w:val="0"/>
          <w:numId w:val="3"/>
        </w:numPr>
        <w:rPr/>
      </w:pPr>
      <w:r>
        <w:rPr/>
        <w:t xml:space="preserve">Underwriting - work w/Gorte to address and reference Transaction Approval Process </w:t>
      </w:r>
    </w:p>
    <w:p>
      <w:pPr>
        <w:pStyle w:val="Normal"/>
        <w:numPr>
          <w:ilvl w:val="0"/>
          <w:numId w:val="3"/>
        </w:numPr>
        <w:rPr/>
      </w:pPr>
      <w:r>
        <w:rPr/>
        <w:t>Introduces Strategic Risk Management and includes the policy development function within it</w:t>
      </w:r>
    </w:p>
    <w:p>
      <w:pPr>
        <w:pStyle w:val="Normal"/>
        <w:numPr>
          <w:ilvl w:val="0"/>
          <w:numId w:val="3"/>
        </w:numPr>
        <w:rPr/>
      </w:pPr>
      <w:r>
        <w:rPr/>
        <w:t>Operational Risk Management - measurements and considerations to be further defined by working with Sally Beck and Research</w:t>
      </w:r>
    </w:p>
    <w:p>
      <w:pPr>
        <w:pStyle w:val="Normal"/>
        <w:numPr>
          <w:ilvl w:val="0"/>
          <w:numId w:val="3"/>
        </w:numPr>
        <w:rPr/>
      </w:pPr>
      <w:r>
        <w:rPr/>
        <w:t>Organizationally defines RAC authority responsiblities (formerly CRO or his “designee”), as well as the other risk management functions’ authority and responsibilities - these are based on consultations with PWC, review of best practices at banks, and customization for Enron’s organization</w:t>
      </w:r>
    </w:p>
    <w:p>
      <w:pPr>
        <w:pStyle w:val="Normal"/>
        <w:numPr>
          <w:ilvl w:val="0"/>
          <w:numId w:val="3"/>
        </w:numPr>
        <w:rPr/>
      </w:pPr>
      <w:r>
        <w:rPr/>
        <w:t>Portfolios - added 3 portfolios - one for Retail, one for Regulated Domestic, and one for everything else (Other Assets &amp; Contracts)</w:t>
      </w:r>
    </w:p>
    <w:p>
      <w:pPr>
        <w:pStyle w:val="Normal"/>
        <w:numPr>
          <w:ilvl w:val="0"/>
          <w:numId w:val="3"/>
        </w:numPr>
        <w:rPr/>
      </w:pPr>
      <w:r>
        <w:rPr/>
        <w:t>Addresses policy for interest rate and foreign currency exchange rate hedging; gives Risk Committee over-ride authority over business units on hedging decisions</w:t>
      </w:r>
    </w:p>
    <w:p>
      <w:pPr>
        <w:pStyle w:val="Normal"/>
        <w:numPr>
          <w:ilvl w:val="0"/>
          <w:numId w:val="3"/>
        </w:numPr>
        <w:rPr/>
      </w:pPr>
      <w:r>
        <w:rPr/>
        <w:t>Defines return on risk capital measurements (RoVaR, RoCaR, etc.), and provides for consideration of these metrics and for other financial analysis to support limit approval process (entire section to be beefed up per consultation w/Naveen, Vince, Gorte, etc.)</w:t>
      </w:r>
    </w:p>
    <w:p>
      <w:pPr>
        <w:pStyle w:val="Normal"/>
        <w:numPr>
          <w:ilvl w:val="0"/>
          <w:numId w:val="3"/>
        </w:numPr>
        <w:rPr/>
      </w:pPr>
      <w:r>
        <w:rPr/>
        <w:t>Introduces Extreme Value Theory and related metrics</w:t>
      </w:r>
    </w:p>
    <w:p>
      <w:pPr>
        <w:pStyle w:val="Normal"/>
        <w:numPr>
          <w:ilvl w:val="0"/>
          <w:numId w:val="3"/>
        </w:numPr>
        <w:rPr/>
      </w:pPr>
      <w:r>
        <w:rPr/>
        <w:t>Introduces Earnings-at-Risk metric for certain portfolios</w:t>
      </w:r>
    </w:p>
    <w:p>
      <w:pPr>
        <w:pStyle w:val="Normal"/>
        <w:numPr>
          <w:ilvl w:val="0"/>
          <w:numId w:val="3"/>
        </w:numPr>
        <w:rPr/>
      </w:pPr>
      <w:r>
        <w:rPr/>
        <w:t>Market Risk Limit structure is 5 tiered - Portfolio and Concentration Limits at the BOD level, Business Unit Limits determined by top management, and Commodity Group Limits determined by Business Units, and Trader/Desk level limits determined by Head Traders</w:t>
      </w:r>
    </w:p>
    <w:p>
      <w:pPr>
        <w:pStyle w:val="Normal"/>
        <w:numPr>
          <w:ilvl w:val="0"/>
          <w:numId w:val="3"/>
        </w:numPr>
        <w:rPr/>
      </w:pPr>
      <w:r>
        <w:rPr/>
        <w:t>Tightens reporting and use of trader/desk level limits as business units will have more discretion in the limit structure</w:t>
      </w:r>
    </w:p>
    <w:p>
      <w:pPr>
        <w:pStyle w:val="Normal"/>
        <w:numPr>
          <w:ilvl w:val="0"/>
          <w:numId w:val="3"/>
        </w:numPr>
        <w:rPr/>
      </w:pPr>
      <w:r>
        <w:rPr/>
        <w:t>Interim Policy is simply part of the discretion that the business units have under the new limit structure, with Risk Committee still approving new commodity groups</w:t>
      </w:r>
    </w:p>
    <w:p>
      <w:pPr>
        <w:pStyle w:val="Normal"/>
        <w:numPr>
          <w:ilvl w:val="0"/>
          <w:numId w:val="3"/>
        </w:numPr>
        <w:rPr/>
      </w:pPr>
      <w:r>
        <w:rPr/>
        <w:t>Discretionary VaR is just part of limit allocation process by the Risk Committee to the Enron Business Unit limits - existence depends on the Concentration Limits we propose vs. the Trading Portfolio Limit approved</w:t>
      </w:r>
    </w:p>
    <w:p>
      <w:pPr>
        <w:pStyle w:val="Normal"/>
        <w:numPr>
          <w:ilvl w:val="0"/>
          <w:numId w:val="3"/>
        </w:numPr>
        <w:rPr/>
      </w:pPr>
      <w:r>
        <w:rPr/>
        <w:t>Temporary Limits addressed in Portfolio/Concentration Limit section</w:t>
      </w:r>
    </w:p>
    <w:p>
      <w:pPr>
        <w:pStyle w:val="Normal"/>
        <w:numPr>
          <w:ilvl w:val="0"/>
          <w:numId w:val="3"/>
        </w:numPr>
        <w:rPr/>
      </w:pPr>
      <w:r>
        <w:rPr/>
        <w:t>Limit monitoring process is modified to simplify notification triggers; numerical triggers are changed;  the distribution to President/CEO is only upon Enron Business Unit limits and Concentration and Portfolio Limits; commodity group limit notifications are at Whalley and below, and trader/desk level limit notifications are at the head trader level</w:t>
      </w:r>
    </w:p>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jc w:val="end"/>
      <w:rPr/>
    </w:pPr>
    <w:r>
      <w:rPr/>
      <w:t>Page</w: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810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8105" cy="16065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15pt;height:12.65pt;mso-wrap-distance-left:0pt;mso-wrap-distance-right:0pt;mso-wrap-distance-top:0pt;mso-wrap-distance-bottom:0pt;margin-top:0.05pt;mso-position-vertical-relative:text;margin-left:425.8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Normal"/>
      <w:jc w:val="end"/>
      <w:rPr/>
    </w:pPr>
    <w:r>
      <w:rPr/>
      <w:t>Draft 6/11/01</w:t>
    </w:r>
  </w:p>
  <w:p>
    <w:pPr>
      <w:pStyle w:val="Normal"/>
      <w:jc w:val="end"/>
      <w:rPr/>
    </w:pPr>
    <w:r>
      <w:rPr/>
      <w:t>Policy Draft 6/11/01</w:t>
    </w:r>
  </w:p>
  <w:p>
    <w:pPr>
      <w:pStyle w:val="Normal"/>
      <w:rPr/>
    </w:pPr>
    <w:r>
      <w:rPr/>
    </w:r>
  </w:p>
  <w:p>
    <w:pPr>
      <w:pStyle w:val="Header"/>
      <w:rPr>
        <w:b/>
        <w:bCs/>
      </w:rPr>
    </w:pPr>
    <w:r>
      <w:rPr>
        <w:b/>
        <w:bCs/>
      </w:rPr>
    </w:r>
  </w:p>
  <w:p>
    <w:pPr>
      <w:pStyle w:val="Header"/>
      <w:rPr>
        <w:b/>
        <w:bCs/>
      </w:rPr>
    </w:pPr>
    <w:r>
      <w:rPr>
        <w:b/>
        <w:bCs/>
      </w:rPr>
      <w:t>Summary of Proposed Risk Management Policy Changes</w:t>
    </w:r>
  </w:p>
  <w:p>
    <w:pPr>
      <w:pStyle w:val="Header"/>
      <w:rPr/>
    </w:pPr>
    <w:r>
      <w:rPr/>
    </w:r>
  </w:p>
  <w:p>
    <w:pPr>
      <w:pStyle w:val="Header"/>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My 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2001-06-11T18:53:00Z</dcterms:created>
  <dc:creator>cschult</dc:creator>
  <dc:description/>
  <dc:language>en-CA</dc:language>
  <cp:lastModifiedBy>cschult</cp:lastModifiedBy>
  <cp:lastPrinted>2001-06-11T17:49:00Z</cp:lastPrinted>
  <dcterms:modified xsi:type="dcterms:W3CDTF">2001-06-11T20:34:00Z</dcterms:modified>
  <cp:revision>13</cp:revision>
  <dc:subject/>
  <dc:title>Ray,</dc:title>
</cp:coreProperties>
</file>