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Enron Suggestions </w:t>
      </w:r>
    </w:p>
    <w:p>
      <w:pPr>
        <w:pStyle w:val="Normal"/>
        <w:jc w:val="center"/>
        <w:rPr>
          <w:b/>
          <w:bCs/>
        </w:rPr>
      </w:pPr>
      <w:r>
        <w:rPr>
          <w:b/>
          <w:bCs/>
        </w:rPr>
        <w:t xml:space="preserve">Policy Paper to Accompany </w:t>
      </w:r>
    </w:p>
    <w:p>
      <w:pPr>
        <w:pStyle w:val="Normal"/>
        <w:jc w:val="center"/>
        <w:rPr>
          <w:b/>
          <w:bCs/>
        </w:rPr>
      </w:pPr>
      <w:r>
        <w:rPr>
          <w:b/>
          <w:bCs/>
        </w:rPr>
        <w:t>Conceptual Transmission Plan for WGA</w:t>
      </w:r>
    </w:p>
    <w:p>
      <w:pPr>
        <w:pStyle w:val="Normal"/>
        <w:jc w:val="center"/>
        <w:rPr>
          <w:b/>
          <w:bCs/>
        </w:rPr>
      </w:pPr>
      <w:r>
        <w:rPr>
          <w:b/>
          <w:bCs/>
        </w:rPr>
      </w:r>
    </w:p>
    <w:p>
      <w:pPr>
        <w:pStyle w:val="Normal"/>
        <w:jc w:val="center"/>
        <w:rPr>
          <w:b/>
          <w:bCs/>
        </w:rPr>
      </w:pPr>
      <w:r>
        <w:rPr>
          <w:b/>
          <w:bCs/>
        </w:rPr>
      </w:r>
    </w:p>
    <w:p>
      <w:pPr>
        <w:pStyle w:val="Normal"/>
        <w:numPr>
          <w:ilvl w:val="0"/>
          <w:numId w:val="1"/>
        </w:numPr>
        <w:rPr>
          <w:b/>
          <w:bCs/>
        </w:rPr>
      </w:pPr>
      <w:r>
        <w:rPr>
          <w:b/>
          <w:bCs/>
        </w:rPr>
        <w:t>Governor’s Resolutions</w:t>
      </w:r>
    </w:p>
    <w:p>
      <w:pPr>
        <w:pStyle w:val="Normal"/>
        <w:numPr>
          <w:ilvl w:val="1"/>
          <w:numId w:val="1"/>
        </w:numPr>
        <w:rPr>
          <w:b/>
          <w:bCs/>
        </w:rPr>
      </w:pPr>
      <w:r>
        <w:rPr>
          <w:i/>
          <w:iCs/>
        </w:rPr>
        <w:t>Review of Concerns</w:t>
      </w:r>
    </w:p>
    <w:p>
      <w:pPr>
        <w:pStyle w:val="Normal"/>
        <w:numPr>
          <w:ilvl w:val="1"/>
          <w:numId w:val="1"/>
        </w:numPr>
        <w:rPr>
          <w:b/>
          <w:bCs/>
        </w:rPr>
      </w:pPr>
      <w:r>
        <w:rPr>
          <w:i/>
          <w:iCs/>
        </w:rPr>
        <w:t>Questions Asked</w:t>
      </w:r>
    </w:p>
    <w:p>
      <w:pPr>
        <w:pStyle w:val="Normal"/>
        <w:numPr>
          <w:ilvl w:val="1"/>
          <w:numId w:val="1"/>
        </w:numPr>
        <w:rPr>
          <w:b/>
          <w:bCs/>
        </w:rPr>
      </w:pPr>
      <w:r>
        <w:rPr>
          <w:i/>
          <w:iCs/>
        </w:rPr>
        <w:t>Purpose of paper</w:t>
      </w:r>
    </w:p>
    <w:p>
      <w:pPr>
        <w:pStyle w:val="Normal"/>
        <w:rPr>
          <w:b/>
          <w:bCs/>
        </w:rPr>
      </w:pPr>
      <w:r>
        <w:rPr>
          <w:b/>
          <w:bCs/>
        </w:rPr>
      </w:r>
    </w:p>
    <w:p>
      <w:pPr>
        <w:pStyle w:val="Normal"/>
        <w:numPr>
          <w:ilvl w:val="0"/>
          <w:numId w:val="1"/>
        </w:numPr>
        <w:rPr>
          <w:b/>
          <w:bCs/>
        </w:rPr>
      </w:pPr>
      <w:r>
        <w:rPr>
          <w:b/>
          <w:bCs/>
        </w:rPr>
        <w:t>System Reliability</w:t>
      </w:r>
    </w:p>
    <w:p>
      <w:pPr>
        <w:pStyle w:val="Normal"/>
        <w:numPr>
          <w:ilvl w:val="1"/>
          <w:numId w:val="1"/>
        </w:numPr>
        <w:rPr>
          <w:b/>
          <w:bCs/>
        </w:rPr>
      </w:pPr>
      <w:r>
        <w:rPr>
          <w:i/>
          <w:iCs/>
        </w:rPr>
        <w:t>The nature of reliability in the electrical system.</w:t>
      </w:r>
    </w:p>
    <w:p>
      <w:pPr>
        <w:pStyle w:val="Normal"/>
        <w:numPr>
          <w:ilvl w:val="2"/>
          <w:numId w:val="1"/>
        </w:numPr>
        <w:rPr>
          <w:b/>
          <w:bCs/>
        </w:rPr>
      </w:pPr>
      <w:r>
        <w:rPr/>
        <w:t>Because electric energy can not be stored, it must be produced as it is used, which has the following consequences:</w:t>
      </w:r>
    </w:p>
    <w:p>
      <w:pPr>
        <w:pStyle w:val="Normal"/>
        <w:numPr>
          <w:ilvl w:val="3"/>
          <w:numId w:val="1"/>
        </w:numPr>
        <w:rPr>
          <w:b/>
          <w:bCs/>
        </w:rPr>
      </w:pPr>
      <w:r>
        <w:rPr/>
        <w:t>Generation capacity in excess of load (a reserve) must be available so that load at any point an time can be met when generation outages occur.</w:t>
      </w:r>
    </w:p>
    <w:p>
      <w:pPr>
        <w:pStyle w:val="Normal"/>
        <w:numPr>
          <w:ilvl w:val="3"/>
          <w:numId w:val="1"/>
        </w:numPr>
        <w:rPr>
          <w:b/>
          <w:bCs/>
        </w:rPr>
      </w:pPr>
      <w:r>
        <w:rPr/>
        <w:t>Transmission systems must also be designed to enable necessary deliveries when line outages occur.</w:t>
      </w:r>
    </w:p>
    <w:p>
      <w:pPr>
        <w:pStyle w:val="Normal"/>
        <w:numPr>
          <w:ilvl w:val="2"/>
          <w:numId w:val="1"/>
        </w:numPr>
        <w:rPr>
          <w:b/>
          <w:bCs/>
        </w:rPr>
      </w:pPr>
      <w:r>
        <w:rPr/>
        <w:t>Transmission interconnections allow sharing of reserves between areas, lowering the total amount of reserve required to achieve a desired level of system reliability.  The greater the number units in a reserve pool the more the risk declines of being unable to serve load.</w:t>
      </w:r>
    </w:p>
    <w:p>
      <w:pPr>
        <w:pStyle w:val="Normal"/>
        <w:numPr>
          <w:ilvl w:val="2"/>
          <w:numId w:val="1"/>
        </w:numPr>
        <w:rPr>
          <w:b/>
          <w:bCs/>
        </w:rPr>
      </w:pPr>
      <w:r>
        <w:rPr/>
        <w:t>Interconnections also allow for capturing of seasonal load diversity and resource (or fuel mix) diversity.</w:t>
      </w:r>
    </w:p>
    <w:p>
      <w:pPr>
        <w:pStyle w:val="Normal"/>
        <w:numPr>
          <w:ilvl w:val="3"/>
          <w:numId w:val="1"/>
        </w:numPr>
        <w:rPr>
          <w:b/>
          <w:bCs/>
        </w:rPr>
      </w:pPr>
      <w:r>
        <w:rPr/>
        <w:t>Seasonal diversity – Connecting winter peaking areas to summer peaking areas reduces the overall installed capacity requirement.</w:t>
      </w:r>
    </w:p>
    <w:p>
      <w:pPr>
        <w:pStyle w:val="Normal"/>
        <w:numPr>
          <w:ilvl w:val="3"/>
          <w:numId w:val="1"/>
        </w:numPr>
        <w:rPr>
          <w:b/>
          <w:bCs/>
        </w:rPr>
      </w:pPr>
      <w:r>
        <w:rPr/>
        <w:t>Resource (fuel) diversity – Risks of interruption of supply (drought, coal strike, regulation changes, etc.) are mitigated when generation inventory is spread between types.</w:t>
      </w:r>
    </w:p>
    <w:p>
      <w:pPr>
        <w:pStyle w:val="Normal"/>
        <w:numPr>
          <w:ilvl w:val="2"/>
          <w:numId w:val="1"/>
        </w:numPr>
        <w:rPr>
          <w:b/>
          <w:bCs/>
        </w:rPr>
      </w:pPr>
      <w:r>
        <w:rPr/>
        <w:t>The reliability benefits of interconnections are achieved through trading between market participants.</w:t>
      </w:r>
    </w:p>
    <w:p>
      <w:pPr>
        <w:pStyle w:val="Normal"/>
        <w:numPr>
          <w:ilvl w:val="3"/>
          <w:numId w:val="1"/>
        </w:numPr>
        <w:rPr>
          <w:b/>
          <w:bCs/>
        </w:rPr>
      </w:pPr>
      <w:r>
        <w:rPr/>
        <w:t>In the past this occurred only through vertical integration and inter-utility trades.</w:t>
      </w:r>
    </w:p>
    <w:p>
      <w:pPr>
        <w:pStyle w:val="Normal"/>
        <w:numPr>
          <w:ilvl w:val="3"/>
          <w:numId w:val="1"/>
        </w:numPr>
        <w:rPr>
          <w:b/>
          <w:bCs/>
        </w:rPr>
      </w:pPr>
      <w:r>
        <w:rPr/>
        <w:t>The growth of merchant generation and energy marketing makes possible a much broader level of trade, with loads planning for their supply requirements (including reserves) using forward contracts with generators and marketers.</w:t>
      </w:r>
    </w:p>
    <w:p>
      <w:pPr>
        <w:pStyle w:val="Normal"/>
        <w:numPr>
          <w:ilvl w:val="3"/>
          <w:numId w:val="1"/>
        </w:numPr>
        <w:rPr>
          <w:b/>
          <w:bCs/>
        </w:rPr>
      </w:pPr>
      <w:r>
        <w:rPr/>
        <w:t>Increasing inter-area transfer capability of the transmission system allows the regional competitive market to continue to grow.</w:t>
      </w:r>
    </w:p>
    <w:p>
      <w:pPr>
        <w:pStyle w:val="Normal"/>
        <w:numPr>
          <w:ilvl w:val="1"/>
          <w:numId w:val="1"/>
        </w:numPr>
        <w:rPr>
          <w:b/>
          <w:bCs/>
        </w:rPr>
      </w:pPr>
      <w:r>
        <w:rPr>
          <w:i/>
          <w:iCs/>
        </w:rPr>
        <w:t>The role of reliability standards in an open electric energy market.</w:t>
      </w:r>
    </w:p>
    <w:p>
      <w:pPr>
        <w:pStyle w:val="Normal"/>
        <w:numPr>
          <w:ilvl w:val="2"/>
          <w:numId w:val="1"/>
        </w:numPr>
        <w:rPr>
          <w:b/>
          <w:bCs/>
        </w:rPr>
      </w:pPr>
      <w:r>
        <w:rPr/>
        <w:t>Some have claimed that increasing trade over the transmission system will reduce system reliability – it will not.</w:t>
      </w:r>
    </w:p>
    <w:p>
      <w:pPr>
        <w:pStyle w:val="Normal"/>
        <w:numPr>
          <w:ilvl w:val="3"/>
          <w:numId w:val="1"/>
        </w:numPr>
        <w:rPr>
          <w:b/>
          <w:bCs/>
        </w:rPr>
      </w:pPr>
      <w:r>
        <w:rPr/>
        <w:t>Reliability is maintained by establishing system operations and planning standards.</w:t>
      </w:r>
    </w:p>
    <w:p>
      <w:pPr>
        <w:pStyle w:val="Normal"/>
        <w:numPr>
          <w:ilvl w:val="3"/>
          <w:numId w:val="1"/>
        </w:numPr>
        <w:rPr>
          <w:b/>
          <w:bCs/>
        </w:rPr>
      </w:pPr>
      <w:r>
        <w:rPr/>
        <w:t>The reliability standards become the limits of acceptable operation for all parties, regardless of ownership or function.</w:t>
      </w:r>
    </w:p>
    <w:p>
      <w:pPr>
        <w:pStyle w:val="Normal"/>
        <w:numPr>
          <w:ilvl w:val="3"/>
          <w:numId w:val="1"/>
        </w:numPr>
        <w:rPr>
          <w:b/>
          <w:bCs/>
        </w:rPr>
      </w:pPr>
      <w:r>
        <w:rPr/>
        <w:t>The duty of the transmission system operator is to keep line flows within established ratings.</w:t>
      </w:r>
    </w:p>
    <w:p>
      <w:pPr>
        <w:pStyle w:val="Normal"/>
        <w:numPr>
          <w:ilvl w:val="2"/>
          <w:numId w:val="1"/>
        </w:numPr>
        <w:rPr>
          <w:b/>
          <w:bCs/>
        </w:rPr>
      </w:pPr>
      <w:r>
        <w:rPr/>
        <w:t>Transmission system expansion occurs when load grows above local system capability or desired transfers exceed the inter-area transfer capability of the system.</w:t>
      </w:r>
    </w:p>
    <w:p>
      <w:pPr>
        <w:pStyle w:val="Normal"/>
        <w:numPr>
          <w:ilvl w:val="3"/>
          <w:numId w:val="1"/>
        </w:numPr>
        <w:rPr>
          <w:b/>
          <w:bCs/>
        </w:rPr>
      </w:pPr>
      <w:r>
        <w:rPr/>
        <w:t>In major load centers, load growth requires expansion of local capacity, which tends to have little effect on transfers from one region to another.</w:t>
      </w:r>
    </w:p>
    <w:p>
      <w:pPr>
        <w:pStyle w:val="Normal"/>
        <w:numPr>
          <w:ilvl w:val="3"/>
          <w:numId w:val="1"/>
        </w:numPr>
        <w:rPr>
          <w:b/>
          <w:bCs/>
        </w:rPr>
      </w:pPr>
      <w:r>
        <w:rPr/>
        <w:t>New resources added away from load centers, such as coal or wind, require expansion of inter-regional transfer capability when desired energy transfers cannot occur while keeping the system within its rated capacity, i.e., while meeting the reliability standard.</w:t>
      </w:r>
    </w:p>
    <w:p>
      <w:pPr>
        <w:pStyle w:val="Normal"/>
        <w:ind w:start="1296" w:end="0"/>
        <w:rPr>
          <w:b/>
          <w:bCs/>
        </w:rPr>
      </w:pPr>
      <w:r>
        <w:rPr>
          <w:b/>
          <w:bCs/>
        </w:rPr>
      </w:r>
    </w:p>
    <w:p>
      <w:pPr>
        <w:pStyle w:val="Normal"/>
        <w:numPr>
          <w:ilvl w:val="0"/>
          <w:numId w:val="1"/>
        </w:numPr>
        <w:rPr>
          <w:b/>
          <w:bCs/>
        </w:rPr>
      </w:pPr>
      <w:r>
        <w:rPr>
          <w:b/>
          <w:bCs/>
        </w:rPr>
        <w:t>Efficient Wholesale Markets</w:t>
      </w:r>
    </w:p>
    <w:p>
      <w:pPr>
        <w:pStyle w:val="Normal"/>
        <w:numPr>
          <w:ilvl w:val="1"/>
          <w:numId w:val="1"/>
        </w:numPr>
        <w:rPr>
          <w:b/>
          <w:bCs/>
        </w:rPr>
      </w:pPr>
      <w:r>
        <w:rPr/>
        <w:t xml:space="preserve">The substantial amount of regional diversity is capture by trade among market participants.  </w:t>
      </w:r>
    </w:p>
    <w:p>
      <w:pPr>
        <w:pStyle w:val="Normal"/>
        <w:numPr>
          <w:ilvl w:val="2"/>
          <w:numId w:val="1"/>
        </w:numPr>
        <w:rPr>
          <w:b/>
          <w:bCs/>
        </w:rPr>
      </w:pPr>
      <w:r>
        <w:rPr/>
        <w:t>Resource/fuel diversity benefits:</w:t>
      </w:r>
    </w:p>
    <w:p>
      <w:pPr>
        <w:pStyle w:val="Normal"/>
        <w:numPr>
          <w:ilvl w:val="3"/>
          <w:numId w:val="1"/>
        </w:numPr>
        <w:rPr>
          <w:b/>
          <w:bCs/>
        </w:rPr>
      </w:pPr>
      <w:r>
        <w:rPr/>
        <w:t>Balance of resource types minimizes overall risks and price</w:t>
      </w:r>
      <w:r>
        <w:rPr>
          <w:b/>
          <w:bCs/>
        </w:rPr>
        <w:t xml:space="preserve"> </w:t>
      </w:r>
      <w:r>
        <w:rPr/>
        <w:t>as the strengths of one resource is compliments the weakness of another.</w:t>
      </w:r>
    </w:p>
    <w:p>
      <w:pPr>
        <w:pStyle w:val="Normal"/>
        <w:numPr>
          <w:ilvl w:val="4"/>
          <w:numId w:val="1"/>
        </w:numPr>
        <w:rPr>
          <w:b/>
          <w:bCs/>
        </w:rPr>
      </w:pPr>
      <w:r>
        <w:rPr/>
        <w:t>Northwest hydro has seasonal energy surpluses available and large amount of peaking flexibility but is energy short annually.</w:t>
      </w:r>
    </w:p>
    <w:p>
      <w:pPr>
        <w:pStyle w:val="Normal"/>
        <w:numPr>
          <w:ilvl w:val="4"/>
          <w:numId w:val="1"/>
        </w:numPr>
        <w:rPr>
          <w:b/>
          <w:bCs/>
        </w:rPr>
      </w:pPr>
      <w:r>
        <w:rPr/>
        <w:t>Coal fired and nuclear generation is very efficient at producing energy when operated at high capacity factors, but is very poor at load following.</w:t>
      </w:r>
    </w:p>
    <w:p>
      <w:pPr>
        <w:pStyle w:val="Normal"/>
        <w:numPr>
          <w:ilvl w:val="4"/>
          <w:numId w:val="1"/>
        </w:numPr>
        <w:rPr>
          <w:b/>
          <w:bCs/>
        </w:rPr>
      </w:pPr>
      <w:r>
        <w:rPr/>
        <w:t>Wind produces energy at low price but the energy must be shaped by other sources, which can follow load variations.</w:t>
      </w:r>
    </w:p>
    <w:p>
      <w:pPr>
        <w:pStyle w:val="Normal"/>
        <w:numPr>
          <w:ilvl w:val="4"/>
          <w:numId w:val="1"/>
        </w:numPr>
        <w:rPr>
          <w:b/>
          <w:bCs/>
        </w:rPr>
      </w:pPr>
      <w:r>
        <w:rPr/>
        <w:t>Gas fired turbines can provide peaking or can be combined with steam recovery (combined cycle) to operate as high efficiency base load plants.</w:t>
      </w:r>
    </w:p>
    <w:p>
      <w:pPr>
        <w:pStyle w:val="Normal"/>
        <w:numPr>
          <w:ilvl w:val="3"/>
          <w:numId w:val="1"/>
        </w:numPr>
        <w:rPr>
          <w:b/>
          <w:bCs/>
        </w:rPr>
      </w:pPr>
      <w:r>
        <w:rPr/>
        <w:t>A varied fuel mix in the marketplace allows buyers to diversify and mitigate their price risk due to events such as a rise in price for a single fuel, low water conditions, fuel shortages such as a coal strike, etc.</w:t>
      </w:r>
    </w:p>
    <w:p>
      <w:pPr>
        <w:pStyle w:val="Normal"/>
        <w:numPr>
          <w:ilvl w:val="2"/>
          <w:numId w:val="1"/>
        </w:numPr>
        <w:rPr>
          <w:b/>
          <w:bCs/>
        </w:rPr>
      </w:pPr>
      <w:r>
        <w:rPr/>
        <w:t>Load diversity benefits</w:t>
      </w:r>
    </w:p>
    <w:p>
      <w:pPr>
        <w:pStyle w:val="Normal"/>
        <w:numPr>
          <w:ilvl w:val="3"/>
          <w:numId w:val="1"/>
        </w:numPr>
        <w:rPr>
          <w:b/>
          <w:bCs/>
        </w:rPr>
      </w:pPr>
      <w:r>
        <w:rPr/>
        <w:t xml:space="preserve">Seasonal effects – </w:t>
      </w:r>
    </w:p>
    <w:p>
      <w:pPr>
        <w:pStyle w:val="Normal"/>
        <w:numPr>
          <w:ilvl w:val="4"/>
          <w:numId w:val="1"/>
        </w:numPr>
        <w:rPr>
          <w:b/>
          <w:bCs/>
        </w:rPr>
      </w:pPr>
      <w:r>
        <w:rPr/>
        <w:t>Generators in winter peaking areas can sell surplus capacity to parties in summer peaking areas.</w:t>
      </w:r>
    </w:p>
    <w:p>
      <w:pPr>
        <w:pStyle w:val="Normal"/>
        <w:numPr>
          <w:ilvl w:val="4"/>
          <w:numId w:val="1"/>
        </w:numPr>
        <w:rPr>
          <w:b/>
          <w:bCs/>
        </w:rPr>
      </w:pPr>
      <w:r>
        <w:rPr/>
        <w:t>Areas with hydro storage can enter into seasonal energy exchanges.</w:t>
      </w:r>
    </w:p>
    <w:p>
      <w:pPr>
        <w:pStyle w:val="Normal"/>
        <w:numPr>
          <w:ilvl w:val="3"/>
          <w:numId w:val="1"/>
        </w:numPr>
        <w:rPr>
          <w:b/>
          <w:bCs/>
        </w:rPr>
      </w:pPr>
      <w:r>
        <w:rPr/>
        <w:t xml:space="preserve">Daily load cycle – </w:t>
      </w:r>
    </w:p>
    <w:p>
      <w:pPr>
        <w:pStyle w:val="Normal"/>
        <w:numPr>
          <w:ilvl w:val="4"/>
          <w:numId w:val="1"/>
        </w:numPr>
        <w:rPr>
          <w:b/>
          <w:bCs/>
        </w:rPr>
      </w:pPr>
      <w:r>
        <w:rPr/>
        <w:t>Hydro can be used to meet daily peaks with energy returns at night from base load plants.</w:t>
      </w:r>
    </w:p>
    <w:p>
      <w:pPr>
        <w:pStyle w:val="Normal"/>
        <w:numPr>
          <w:ilvl w:val="3"/>
          <w:numId w:val="1"/>
        </w:numPr>
        <w:rPr>
          <w:b/>
          <w:bCs/>
        </w:rPr>
      </w:pPr>
      <w:r>
        <w:rPr/>
        <w:t>Difference in times of daily peaks, due to time zone, climatic conditions, movement of storms, etc., provide opportunities to minimize cost through trade.</w:t>
      </w:r>
    </w:p>
    <w:p>
      <w:pPr>
        <w:pStyle w:val="Normal"/>
        <w:numPr>
          <w:ilvl w:val="2"/>
          <w:numId w:val="1"/>
        </w:numPr>
        <w:rPr>
          <w:b/>
          <w:bCs/>
        </w:rPr>
      </w:pPr>
      <w:r>
        <w:rPr/>
        <w:t xml:space="preserve">Price differentials between areas provide the signal to buyers and sellers for capturing these diversities through the trading in the energy markets.  </w:t>
      </w:r>
    </w:p>
    <w:p>
      <w:pPr>
        <w:pStyle w:val="Normal"/>
        <w:numPr>
          <w:ilvl w:val="1"/>
          <w:numId w:val="1"/>
        </w:numPr>
        <w:rPr>
          <w:b/>
          <w:bCs/>
        </w:rPr>
      </w:pPr>
      <w:r>
        <w:rPr/>
        <w:t>The goal of the system is to produce an adequate supply of energy (“keep the lights on”) at reasonable prices</w:t>
      </w:r>
    </w:p>
    <w:p>
      <w:pPr>
        <w:pStyle w:val="Normal"/>
        <w:numPr>
          <w:ilvl w:val="2"/>
          <w:numId w:val="1"/>
        </w:numPr>
        <w:rPr>
          <w:b/>
          <w:bCs/>
        </w:rPr>
      </w:pPr>
      <w:r>
        <w:rPr/>
        <w:t>Price is the mechanism the market uses to match supply and demand.</w:t>
      </w:r>
    </w:p>
    <w:p>
      <w:pPr>
        <w:pStyle w:val="Normal"/>
        <w:numPr>
          <w:ilvl w:val="3"/>
          <w:numId w:val="1"/>
        </w:numPr>
        <w:rPr>
          <w:b/>
          <w:bCs/>
        </w:rPr>
      </w:pPr>
      <w:r>
        <w:rPr/>
        <w:t>Rising price draws new supply into the market.</w:t>
      </w:r>
    </w:p>
    <w:p>
      <w:pPr>
        <w:pStyle w:val="Normal"/>
        <w:numPr>
          <w:ilvl w:val="3"/>
          <w:numId w:val="1"/>
        </w:numPr>
        <w:rPr>
          <w:b/>
          <w:bCs/>
        </w:rPr>
      </w:pPr>
      <w:r>
        <w:rPr/>
        <w:t>Demand responsive load acts to check unrestrained price increases</w:t>
      </w:r>
    </w:p>
    <w:p>
      <w:pPr>
        <w:pStyle w:val="Normal"/>
        <w:numPr>
          <w:ilvl w:val="2"/>
          <w:numId w:val="1"/>
        </w:numPr>
        <w:rPr>
          <w:b/>
          <w:bCs/>
        </w:rPr>
      </w:pPr>
      <w:r>
        <w:rPr/>
        <w:t>Under the functional separation standards of FERC Order Nos. 888/889 and 2000, market price signals must provide the necessary linkage between generation siting and transmission expansion.</w:t>
      </w:r>
      <w:r>
        <w:rPr>
          <w:b/>
          <w:bCs/>
        </w:rPr>
        <w:t xml:space="preserve">  </w:t>
      </w:r>
    </w:p>
    <w:p>
      <w:pPr>
        <w:pStyle w:val="Normal"/>
        <w:numPr>
          <w:ilvl w:val="3"/>
          <w:numId w:val="1"/>
        </w:numPr>
        <w:rPr>
          <w:b/>
          <w:bCs/>
        </w:rPr>
      </w:pPr>
      <w:r>
        <w:rPr/>
        <w:t xml:space="preserve">In the absence of accurate price signals regarding the cost of transmission expansion, poor siting decisions can occur. </w:t>
      </w:r>
    </w:p>
    <w:p>
      <w:pPr>
        <w:pStyle w:val="Normal"/>
        <w:numPr>
          <w:ilvl w:val="3"/>
          <w:numId w:val="1"/>
        </w:numPr>
        <w:rPr>
          <w:b/>
          <w:bCs/>
        </w:rPr>
      </w:pPr>
      <w:r>
        <w:rPr/>
        <w:t>Congestion management systems in RTOs are a key element in producing the needed price signals.</w:t>
      </w:r>
    </w:p>
    <w:p>
      <w:pPr>
        <w:pStyle w:val="Normal"/>
        <w:numPr>
          <w:ilvl w:val="1"/>
          <w:numId w:val="1"/>
        </w:numPr>
        <w:rPr>
          <w:b/>
          <w:bCs/>
        </w:rPr>
      </w:pPr>
      <w:r>
        <w:rPr/>
        <w:t>Efficient pricing of energy and transmission capacity:</w:t>
      </w:r>
    </w:p>
    <w:p>
      <w:pPr>
        <w:pStyle w:val="Normal"/>
        <w:numPr>
          <w:ilvl w:val="2"/>
          <w:numId w:val="1"/>
        </w:numPr>
        <w:rPr>
          <w:b/>
          <w:bCs/>
        </w:rPr>
      </w:pPr>
      <w:r>
        <w:rPr/>
        <w:t>Merchant generation has been a growing segment</w:t>
      </w:r>
      <w:r>
        <w:rPr>
          <w:b/>
          <w:bCs/>
        </w:rPr>
        <w:t xml:space="preserve"> </w:t>
      </w:r>
      <w:r>
        <w:rPr/>
        <w:t>total generation capacity in the market since PURPA &amp; EPAct’92.</w:t>
      </w:r>
      <w:r>
        <w:rPr>
          <w:b/>
          <w:bCs/>
        </w:rPr>
        <w:t xml:space="preserve">  </w:t>
      </w:r>
      <w:r>
        <w:rPr/>
        <w:t>As a result a shift has begun from reliance on owned generation to managing a portfolio of supply contracts.</w:t>
      </w:r>
    </w:p>
    <w:p>
      <w:pPr>
        <w:pStyle w:val="Normal"/>
        <w:numPr>
          <w:ilvl w:val="2"/>
          <w:numId w:val="1"/>
        </w:numPr>
        <w:rPr>
          <w:b/>
          <w:bCs/>
        </w:rPr>
      </w:pPr>
      <w:r>
        <w:rPr/>
        <w:t xml:space="preserve">Open access a prerequisite to supply contract market – </w:t>
      </w:r>
    </w:p>
    <w:p>
      <w:pPr>
        <w:pStyle w:val="Normal"/>
        <w:numPr>
          <w:ilvl w:val="3"/>
          <w:numId w:val="1"/>
        </w:numPr>
        <w:rPr>
          <w:b/>
          <w:bCs/>
        </w:rPr>
      </w:pPr>
      <w:r>
        <w:rPr/>
        <w:t>Price differentials drive the need for new transmission</w:t>
      </w:r>
    </w:p>
    <w:p>
      <w:pPr>
        <w:pStyle w:val="Normal"/>
        <w:numPr>
          <w:ilvl w:val="3"/>
          <w:numId w:val="1"/>
        </w:numPr>
        <w:rPr>
          <w:b/>
          <w:bCs/>
        </w:rPr>
      </w:pPr>
      <w:r>
        <w:rPr/>
        <w:t>Adequate transmission mitigates local market power</w:t>
      </w:r>
    </w:p>
    <w:p>
      <w:pPr>
        <w:pStyle w:val="Normal"/>
        <w:numPr>
          <w:ilvl w:val="2"/>
          <w:numId w:val="1"/>
        </w:numPr>
        <w:rPr>
          <w:b/>
          <w:bCs/>
        </w:rPr>
      </w:pPr>
      <w:r>
        <w:rPr/>
        <w:t>Risk management under functional separation paradigm allows buyers to adjust their degree of risk by the nature of the sources they select and the types of the contracts acquire.</w:t>
      </w:r>
    </w:p>
    <w:p>
      <w:pPr>
        <w:pStyle w:val="Normal"/>
        <w:numPr>
          <w:ilvl w:val="3"/>
          <w:numId w:val="1"/>
        </w:numPr>
        <w:rPr>
          <w:b/>
          <w:bCs/>
        </w:rPr>
      </w:pPr>
      <w:r>
        <w:rPr/>
        <w:t>Marketers and merchant generators offer their services under various terms and conditions.</w:t>
      </w:r>
    </w:p>
    <w:p>
      <w:pPr>
        <w:pStyle w:val="Normal"/>
        <w:numPr>
          <w:ilvl w:val="3"/>
          <w:numId w:val="1"/>
        </w:numPr>
        <w:rPr>
          <w:b/>
          <w:bCs/>
        </w:rPr>
      </w:pPr>
      <w:r>
        <w:rPr/>
        <w:t>Supply risk and price volatility are managed using a portfolio approach with a combination of components:</w:t>
      </w:r>
    </w:p>
    <w:p>
      <w:pPr>
        <w:pStyle w:val="Normal"/>
        <w:numPr>
          <w:ilvl w:val="4"/>
          <w:numId w:val="1"/>
        </w:numPr>
        <w:rPr>
          <w:b/>
          <w:bCs/>
        </w:rPr>
      </w:pPr>
      <w:r>
        <w:rPr/>
        <w:t>Supply contracts with varying terms – spot, medium term and long term – with generators.</w:t>
      </w:r>
    </w:p>
    <w:p>
      <w:pPr>
        <w:pStyle w:val="Normal"/>
        <w:numPr>
          <w:ilvl w:val="4"/>
          <w:numId w:val="1"/>
        </w:numPr>
        <w:rPr>
          <w:b/>
          <w:bCs/>
        </w:rPr>
      </w:pPr>
      <w:r>
        <w:rPr/>
        <w:t>Hedging products offered by marketers, i.e., fuel hedges (coal or gas) against future price increases</w:t>
      </w:r>
    </w:p>
    <w:p>
      <w:pPr>
        <w:pStyle w:val="Normal"/>
        <w:numPr>
          <w:ilvl w:val="3"/>
          <w:numId w:val="1"/>
        </w:numPr>
        <w:rPr>
          <w:b/>
          <w:bCs/>
        </w:rPr>
      </w:pPr>
      <w:r>
        <w:rPr/>
        <w:t xml:space="preserve">Forward contracting for transmission is needed as a part of the portfolio.  The party buying transmission rights may be either – </w:t>
      </w:r>
    </w:p>
    <w:p>
      <w:pPr>
        <w:pStyle w:val="Normal"/>
        <w:numPr>
          <w:ilvl w:val="4"/>
          <w:numId w:val="1"/>
        </w:numPr>
        <w:rPr>
          <w:b/>
          <w:bCs/>
        </w:rPr>
      </w:pPr>
      <w:r>
        <w:rPr/>
        <w:t>Sellers reaching into load centers to make sales of delivered energy.</w:t>
      </w:r>
    </w:p>
    <w:p>
      <w:pPr>
        <w:pStyle w:val="Normal"/>
        <w:numPr>
          <w:ilvl w:val="4"/>
          <w:numId w:val="1"/>
        </w:numPr>
        <w:rPr>
          <w:b/>
          <w:bCs/>
        </w:rPr>
      </w:pPr>
      <w:r>
        <w:rPr/>
        <w:t>Buyers seeking competitive alternatives in resource areas</w:t>
      </w:r>
    </w:p>
    <w:p>
      <w:pPr>
        <w:pStyle w:val="Normal"/>
        <w:rPr>
          <w:b/>
          <w:bCs/>
        </w:rPr>
      </w:pPr>
      <w:r>
        <w:rPr>
          <w:b/>
          <w:bCs/>
        </w:rPr>
      </w:r>
    </w:p>
    <w:p>
      <w:pPr>
        <w:pStyle w:val="Normal"/>
        <w:numPr>
          <w:ilvl w:val="0"/>
          <w:numId w:val="1"/>
        </w:numPr>
        <w:rPr>
          <w:b/>
          <w:bCs/>
        </w:rPr>
      </w:pPr>
      <w:r>
        <w:rPr>
          <w:b/>
          <w:bCs/>
        </w:rPr>
        <w:t>Planning Processes and Organizations</w:t>
      </w:r>
    </w:p>
    <w:p>
      <w:pPr>
        <w:pStyle w:val="Normal"/>
        <w:numPr>
          <w:ilvl w:val="1"/>
          <w:numId w:val="1"/>
        </w:numPr>
        <w:rPr>
          <w:b/>
          <w:bCs/>
        </w:rPr>
      </w:pPr>
      <w:r>
        <w:rPr/>
        <w:t>There are two types of transmission projects:</w:t>
      </w:r>
    </w:p>
    <w:p>
      <w:pPr>
        <w:pStyle w:val="Normal"/>
        <w:numPr>
          <w:ilvl w:val="2"/>
          <w:numId w:val="1"/>
        </w:numPr>
        <w:rPr>
          <w:b/>
          <w:bCs/>
        </w:rPr>
      </w:pPr>
      <w:r>
        <w:rPr/>
        <w:t>Inter-regional transfer capability (long distance facilities) needed between generation and load centers – Examples:</w:t>
      </w:r>
    </w:p>
    <w:p>
      <w:pPr>
        <w:pStyle w:val="Normal"/>
        <w:numPr>
          <w:ilvl w:val="3"/>
          <w:numId w:val="1"/>
        </w:numPr>
        <w:rPr>
          <w:b/>
          <w:bCs/>
        </w:rPr>
      </w:pPr>
      <w:r>
        <w:rPr/>
        <w:t>Coal by wire from Mountain States to Coastal States.</w:t>
      </w:r>
    </w:p>
    <w:p>
      <w:pPr>
        <w:pStyle w:val="Normal"/>
        <w:numPr>
          <w:ilvl w:val="3"/>
          <w:numId w:val="1"/>
        </w:numPr>
        <w:rPr>
          <w:b/>
          <w:bCs/>
        </w:rPr>
      </w:pPr>
      <w:r>
        <w:rPr/>
        <w:t>Integration of wind generation with load centers.</w:t>
      </w:r>
    </w:p>
    <w:p>
      <w:pPr>
        <w:pStyle w:val="Normal"/>
        <w:numPr>
          <w:ilvl w:val="2"/>
          <w:numId w:val="1"/>
        </w:numPr>
        <w:rPr>
          <w:b/>
          <w:bCs/>
        </w:rPr>
      </w:pPr>
      <w:r>
        <w:rPr/>
        <w:t>Local transmission adequacy needed to make delivery within load centers.</w:t>
      </w:r>
    </w:p>
    <w:p>
      <w:pPr>
        <w:pStyle w:val="Normal"/>
        <w:numPr>
          <w:ilvl w:val="1"/>
          <w:numId w:val="1"/>
        </w:numPr>
        <w:rPr>
          <w:b/>
          <w:bCs/>
        </w:rPr>
      </w:pPr>
      <w:r>
        <w:rPr/>
        <w:t xml:space="preserve">The need for new long distance transmission will arise from the market.  </w:t>
      </w:r>
    </w:p>
    <w:p>
      <w:pPr>
        <w:pStyle w:val="Normal"/>
        <w:numPr>
          <w:ilvl w:val="2"/>
          <w:numId w:val="1"/>
        </w:numPr>
        <w:rPr>
          <w:b/>
          <w:bCs/>
        </w:rPr>
      </w:pPr>
      <w:r>
        <w:rPr/>
        <w:t>However, current planning processes and organizations were devised in an era of vertical integration.</w:t>
      </w:r>
    </w:p>
    <w:p>
      <w:pPr>
        <w:pStyle w:val="Normal"/>
        <w:numPr>
          <w:ilvl w:val="2"/>
          <w:numId w:val="1"/>
        </w:numPr>
        <w:rPr>
          <w:b/>
          <w:bCs/>
        </w:rPr>
      </w:pPr>
      <w:r>
        <w:rPr/>
        <w:t>The planning processes and organization needs to be adapted so they can respond to the market needs, for instance, a process could:</w:t>
      </w:r>
    </w:p>
    <w:p>
      <w:pPr>
        <w:pStyle w:val="Normal"/>
        <w:numPr>
          <w:ilvl w:val="3"/>
          <w:numId w:val="1"/>
        </w:numPr>
        <w:rPr>
          <w:b/>
          <w:bCs/>
        </w:rPr>
      </w:pPr>
      <w:r>
        <w:rPr/>
        <w:t>Identify potential generation from siting and service requests to RTOs/Transmission Providers.</w:t>
      </w:r>
    </w:p>
    <w:p>
      <w:pPr>
        <w:pStyle w:val="Normal"/>
        <w:numPr>
          <w:ilvl w:val="3"/>
          <w:numId w:val="1"/>
        </w:numPr>
        <w:rPr>
          <w:b/>
          <w:bCs/>
        </w:rPr>
      </w:pPr>
      <w:r>
        <w:rPr/>
        <w:t>Combine load, price, and siting information to forecast expected inter-area transfer requirements.</w:t>
      </w:r>
    </w:p>
    <w:p>
      <w:pPr>
        <w:pStyle w:val="Normal"/>
        <w:numPr>
          <w:ilvl w:val="3"/>
          <w:numId w:val="1"/>
        </w:numPr>
        <w:rPr>
          <w:b/>
          <w:bCs/>
        </w:rPr>
      </w:pPr>
      <w:r>
        <w:rPr/>
        <w:t>Project proposals made by parties interested in building and selling new transfer capability to market participants.</w:t>
      </w:r>
    </w:p>
    <w:p>
      <w:pPr>
        <w:pStyle w:val="Normal"/>
        <w:numPr>
          <w:ilvl w:val="3"/>
          <w:numId w:val="1"/>
        </w:numPr>
        <w:rPr>
          <w:b/>
          <w:bCs/>
        </w:rPr>
      </w:pPr>
      <w:r>
        <w:rPr/>
        <w:t>Verification of need through open season subscription.</w:t>
      </w:r>
    </w:p>
    <w:p>
      <w:pPr>
        <w:pStyle w:val="Normal"/>
        <w:numPr>
          <w:ilvl w:val="1"/>
          <w:numId w:val="1"/>
        </w:numPr>
        <w:rPr>
          <w:b/>
          <w:bCs/>
        </w:rPr>
      </w:pPr>
      <w:r>
        <w:rPr/>
        <w:t xml:space="preserve">Planning organizations should facilitate the distribution of information to market participants. </w:t>
      </w:r>
    </w:p>
    <w:p>
      <w:pPr>
        <w:pStyle w:val="Normal"/>
        <w:numPr>
          <w:ilvl w:val="2"/>
          <w:numId w:val="1"/>
        </w:numPr>
        <w:rPr>
          <w:b/>
          <w:bCs/>
        </w:rPr>
      </w:pPr>
      <w:r>
        <w:rPr/>
        <w:t>Transmission utilization and forecasts of future needs.</w:t>
      </w:r>
    </w:p>
    <w:p>
      <w:pPr>
        <w:pStyle w:val="Normal"/>
        <w:numPr>
          <w:ilvl w:val="2"/>
          <w:numId w:val="1"/>
        </w:numPr>
        <w:rPr>
          <w:b/>
          <w:bCs/>
        </w:rPr>
      </w:pPr>
      <w:r>
        <w:rPr/>
        <w:t>Coordination of network data for studies.</w:t>
      </w:r>
    </w:p>
    <w:p>
      <w:pPr>
        <w:pStyle w:val="Normal"/>
        <w:numPr>
          <w:ilvl w:val="2"/>
          <w:numId w:val="1"/>
        </w:numPr>
        <w:rPr>
          <w:b/>
          <w:bCs/>
        </w:rPr>
      </w:pPr>
      <w:r>
        <w:rPr/>
        <w:t>Notice and review processes for proposed facilities</w:t>
      </w:r>
    </w:p>
    <w:p>
      <w:pPr>
        <w:pStyle w:val="Normal"/>
        <w:numPr>
          <w:ilvl w:val="2"/>
          <w:numId w:val="1"/>
        </w:numPr>
        <w:rPr>
          <w:b/>
          <w:bCs/>
        </w:rPr>
      </w:pPr>
      <w:r>
        <w:rPr/>
        <w:t>System rating process</w:t>
      </w:r>
    </w:p>
    <w:p>
      <w:pPr>
        <w:pStyle w:val="Normal"/>
        <w:numPr>
          <w:ilvl w:val="3"/>
          <w:numId w:val="1"/>
        </w:numPr>
        <w:rPr>
          <w:b/>
          <w:bCs/>
        </w:rPr>
      </w:pPr>
      <w:r>
        <w:rPr/>
        <w:t>Establishing the operational boundaries from the reliability standards.</w:t>
      </w:r>
    </w:p>
    <w:p>
      <w:pPr>
        <w:pStyle w:val="Normal"/>
        <w:numPr>
          <w:ilvl w:val="3"/>
          <w:numId w:val="1"/>
        </w:numPr>
        <w:rPr>
          <w:b/>
          <w:bCs/>
        </w:rPr>
      </w:pPr>
      <w:r>
        <w:rPr/>
        <w:t>A necessary step to defining property right of parties who fund construction to establish what they are selling and what the buyer is acquiring.</w:t>
      </w:r>
    </w:p>
    <w:p>
      <w:pPr>
        <w:pStyle w:val="Normal"/>
        <w:rPr>
          <w:b/>
          <w:bCs/>
        </w:rPr>
      </w:pPr>
      <w:r>
        <w:rPr>
          <w:b/>
          <w:bCs/>
        </w:rPr>
      </w:r>
    </w:p>
    <w:p>
      <w:pPr>
        <w:pStyle w:val="Normal"/>
        <w:numPr>
          <w:ilvl w:val="0"/>
          <w:numId w:val="1"/>
        </w:numPr>
        <w:rPr>
          <w:b/>
          <w:bCs/>
        </w:rPr>
      </w:pPr>
      <w:r>
        <w:rPr>
          <w:b/>
          <w:bCs/>
        </w:rPr>
        <w:t>Financing of Expansion and Recovery of Costs</w:t>
      </w:r>
    </w:p>
    <w:p>
      <w:pPr>
        <w:pStyle w:val="Normal"/>
        <w:numPr>
          <w:ilvl w:val="1"/>
          <w:numId w:val="1"/>
        </w:numPr>
        <w:rPr>
          <w:i/>
          <w:i/>
          <w:iCs/>
        </w:rPr>
      </w:pPr>
      <w:r>
        <w:rPr>
          <w:i/>
          <w:iCs/>
        </w:rPr>
        <w:t>Different methods for recovering cost can be used based on differentiation of project purposes – where there is blurring of distinction, RTOs will need process for determining the proper division of costs between types of cost recovery.</w:t>
      </w:r>
    </w:p>
    <w:p>
      <w:pPr>
        <w:pStyle w:val="Normal"/>
        <w:numPr>
          <w:ilvl w:val="1"/>
          <w:numId w:val="1"/>
        </w:numPr>
        <w:rPr>
          <w:i/>
          <w:i/>
          <w:iCs/>
        </w:rPr>
      </w:pPr>
      <w:r>
        <w:rPr>
          <w:i/>
          <w:iCs/>
        </w:rPr>
        <w:t>Local Adequacy Projects</w:t>
      </w:r>
    </w:p>
    <w:p>
      <w:pPr>
        <w:pStyle w:val="Normal"/>
        <w:numPr>
          <w:ilvl w:val="2"/>
          <w:numId w:val="1"/>
        </w:numPr>
        <w:rPr>
          <w:i/>
          <w:i/>
          <w:iCs/>
        </w:rPr>
      </w:pPr>
      <w:r>
        <w:rPr/>
        <w:t>Built to meet needs within load centers</w:t>
      </w:r>
    </w:p>
    <w:p>
      <w:pPr>
        <w:pStyle w:val="Normal"/>
        <w:numPr>
          <w:ilvl w:val="2"/>
          <w:numId w:val="1"/>
        </w:numPr>
        <w:rPr>
          <w:i/>
          <w:i/>
          <w:iCs/>
        </w:rPr>
      </w:pPr>
      <w:r>
        <w:rPr/>
        <w:t xml:space="preserve">Costs collected locally </w:t>
      </w:r>
    </w:p>
    <w:p>
      <w:pPr>
        <w:pStyle w:val="Normal"/>
        <w:numPr>
          <w:ilvl w:val="3"/>
          <w:numId w:val="1"/>
        </w:numPr>
        <w:rPr>
          <w:i/>
          <w:i/>
          <w:iCs/>
        </w:rPr>
      </w:pPr>
      <w:r>
        <w:rPr/>
        <w:t>In embedded cost rates prior to RTO formation</w:t>
      </w:r>
    </w:p>
    <w:p>
      <w:pPr>
        <w:pStyle w:val="Normal"/>
        <w:numPr>
          <w:ilvl w:val="3"/>
          <w:numId w:val="1"/>
        </w:numPr>
        <w:rPr>
          <w:i/>
          <w:i/>
          <w:iCs/>
        </w:rPr>
      </w:pPr>
      <w:r>
        <w:rPr/>
        <w:t>In load based access fees after RTOs form</w:t>
      </w:r>
    </w:p>
    <w:p>
      <w:pPr>
        <w:pStyle w:val="Normal"/>
        <w:numPr>
          <w:ilvl w:val="1"/>
          <w:numId w:val="1"/>
        </w:numPr>
        <w:rPr/>
      </w:pPr>
      <w:r>
        <w:rPr>
          <w:i/>
          <w:iCs/>
        </w:rPr>
        <w:t>Regional Transfer Capability Projects</w:t>
      </w:r>
    </w:p>
    <w:p>
      <w:pPr>
        <w:pStyle w:val="Normal"/>
        <w:numPr>
          <w:ilvl w:val="2"/>
          <w:numId w:val="1"/>
        </w:numPr>
        <w:rPr/>
      </w:pPr>
      <w:r>
        <w:rPr/>
        <w:t>Open season for forward sale of transmission rights similar to gas pipeline processes</w:t>
      </w:r>
    </w:p>
    <w:p>
      <w:pPr>
        <w:pStyle w:val="Normal"/>
        <w:numPr>
          <w:ilvl w:val="2"/>
          <w:numId w:val="1"/>
        </w:numPr>
        <w:rPr/>
      </w:pPr>
      <w:r>
        <w:rPr/>
        <w:t>Purchasers of rights fund construction of project</w:t>
      </w:r>
    </w:p>
    <w:p>
      <w:pPr>
        <w:pStyle w:val="Normal"/>
        <w:numPr>
          <w:ilvl w:val="2"/>
          <w:numId w:val="1"/>
        </w:numPr>
        <w:rPr/>
      </w:pPr>
      <w:r>
        <w:rPr/>
        <w:t>Project turned over to RTO for operation under its congestion management system (CMS)</w:t>
      </w:r>
    </w:p>
    <w:p>
      <w:pPr>
        <w:pStyle w:val="Normal"/>
        <w:numPr>
          <w:ilvl w:val="3"/>
          <w:numId w:val="1"/>
        </w:numPr>
        <w:rPr/>
      </w:pPr>
      <w:r>
        <w:rPr/>
        <w:t>Rights purchase in open system consistent with RTO s CMS</w:t>
      </w:r>
    </w:p>
    <w:p>
      <w:pPr>
        <w:pStyle w:val="Normal"/>
        <w:numPr>
          <w:ilvl w:val="3"/>
          <w:numId w:val="1"/>
        </w:numPr>
        <w:rPr/>
      </w:pPr>
      <w:r>
        <w:rPr/>
        <w:t>Clear definition of property right is key to open season approach working</w:t>
      </w:r>
    </w:p>
    <w:p>
      <w:pPr>
        <w:pStyle w:val="Normal"/>
        <w:numPr>
          <w:ilvl w:val="1"/>
          <w:numId w:val="1"/>
        </w:numPr>
        <w:rPr/>
      </w:pPr>
      <w:r>
        <w:rPr>
          <w:i/>
          <w:iCs/>
        </w:rPr>
        <w:t>Transmission Alternatives Cost</w:t>
      </w:r>
    </w:p>
    <w:p>
      <w:pPr>
        <w:pStyle w:val="Normal"/>
        <w:numPr>
          <w:ilvl w:val="2"/>
          <w:numId w:val="1"/>
        </w:numPr>
        <w:rPr/>
      </w:pPr>
      <w:r>
        <w:rPr/>
        <w:t>Customers’ select from among suppliers (and the alternatives they choose) based on the net cost of meeting energy needs</w:t>
      </w:r>
    </w:p>
    <w:p>
      <w:pPr>
        <w:pStyle w:val="Normal"/>
        <w:numPr>
          <w:ilvl w:val="2"/>
          <w:numId w:val="1"/>
        </w:numPr>
        <w:rPr/>
      </w:pPr>
      <w:r>
        <w:rPr/>
        <w:t>Remote suppliers using transmission must include the cost of Regional Transfer Capability projects in competing with the alternatives of local generation with energy delivered by gas pipeline, with capital investments in more efficient equipment, etc.</w:t>
      </w:r>
    </w:p>
    <w:p>
      <w:pPr>
        <w:pStyle w:val="Normal"/>
        <w:rPr>
          <w:b/>
          <w:bCs/>
        </w:rPr>
      </w:pPr>
      <w:r>
        <w:rPr>
          <w:b/>
          <w:bCs/>
        </w:rPr>
      </w:r>
    </w:p>
    <w:p>
      <w:pPr>
        <w:pStyle w:val="Normal"/>
        <w:numPr>
          <w:ilvl w:val="0"/>
          <w:numId w:val="1"/>
        </w:numPr>
        <w:rPr>
          <w:b/>
          <w:bCs/>
        </w:rPr>
      </w:pPr>
      <w:r>
        <w:rPr>
          <w:b/>
          <w:bCs/>
        </w:rPr>
        <w:t>Siting and Permitting of Expansions</w:t>
      </w:r>
    </w:p>
    <w:p>
      <w:pPr>
        <w:pStyle w:val="Normal"/>
        <w:numPr>
          <w:ilvl w:val="1"/>
          <w:numId w:val="1"/>
        </w:numPr>
        <w:rPr>
          <w:b/>
          <w:bCs/>
        </w:rPr>
      </w:pPr>
      <w:r>
        <w:rPr/>
        <w:t>Jurisdictional challenges:</w:t>
      </w:r>
    </w:p>
    <w:p>
      <w:pPr>
        <w:pStyle w:val="Normal"/>
        <w:numPr>
          <w:ilvl w:val="2"/>
          <w:numId w:val="1"/>
        </w:numPr>
        <w:rPr>
          <w:b/>
          <w:bCs/>
        </w:rPr>
      </w:pPr>
      <w:r>
        <w:rPr/>
        <w:t>Regional transfer capability projects cross multiple states and/or provinces</w:t>
      </w:r>
    </w:p>
    <w:p>
      <w:pPr>
        <w:pStyle w:val="Normal"/>
        <w:numPr>
          <w:ilvl w:val="2"/>
          <w:numId w:val="1"/>
        </w:numPr>
        <w:rPr>
          <w:b/>
          <w:bCs/>
        </w:rPr>
      </w:pPr>
      <w:r>
        <w:rPr/>
        <w:t>Federal and state public lands</w:t>
      </w:r>
    </w:p>
    <w:p>
      <w:pPr>
        <w:pStyle w:val="Normal"/>
        <w:numPr>
          <w:ilvl w:val="2"/>
          <w:numId w:val="1"/>
        </w:numPr>
        <w:rPr>
          <w:b/>
          <w:bCs/>
        </w:rPr>
      </w:pPr>
      <w:r>
        <w:rPr/>
        <w:t xml:space="preserve">Tribal lands </w:t>
      </w:r>
    </w:p>
    <w:p>
      <w:pPr>
        <w:pStyle w:val="Normal"/>
        <w:numPr>
          <w:ilvl w:val="2"/>
          <w:numId w:val="1"/>
        </w:numPr>
        <w:rPr>
          <w:b/>
          <w:bCs/>
        </w:rPr>
      </w:pPr>
      <w:r>
        <w:rPr/>
        <w:t>Export permits for international projects</w:t>
      </w:r>
    </w:p>
    <w:p>
      <w:pPr>
        <w:pStyle w:val="Normal"/>
        <w:numPr>
          <w:ilvl w:val="1"/>
          <w:numId w:val="1"/>
        </w:numPr>
        <w:rPr>
          <w:b/>
          <w:bCs/>
        </w:rPr>
      </w:pPr>
      <w:r>
        <w:rPr/>
        <w:t>Some options for expediting siting: (conceptual concepts for investigation)</w:t>
      </w:r>
    </w:p>
    <w:p>
      <w:pPr>
        <w:pStyle w:val="Normal"/>
        <w:numPr>
          <w:ilvl w:val="2"/>
          <w:numId w:val="1"/>
        </w:numPr>
        <w:rPr>
          <w:b/>
          <w:bCs/>
        </w:rPr>
      </w:pPr>
      <w:r>
        <w:rPr/>
        <w:t>Minimal joint process?</w:t>
      </w:r>
    </w:p>
    <w:p>
      <w:pPr>
        <w:pStyle w:val="Normal"/>
        <w:numPr>
          <w:ilvl w:val="3"/>
          <w:numId w:val="1"/>
        </w:numPr>
        <w:rPr>
          <w:b/>
          <w:bCs/>
        </w:rPr>
      </w:pPr>
      <w:r>
        <w:rPr/>
        <w:t xml:space="preserve">Informal formation recognizing jurisdictional independence </w:t>
      </w:r>
    </w:p>
    <w:p>
      <w:pPr>
        <w:pStyle w:val="Normal"/>
        <w:numPr>
          <w:ilvl w:val="3"/>
          <w:numId w:val="1"/>
        </w:numPr>
        <w:rPr>
          <w:b/>
          <w:bCs/>
        </w:rPr>
      </w:pPr>
      <w:r>
        <w:rPr/>
        <w:t>Use joint interagency process for fact finding</w:t>
      </w:r>
    </w:p>
    <w:p>
      <w:pPr>
        <w:pStyle w:val="Normal"/>
        <w:numPr>
          <w:ilvl w:val="4"/>
          <w:numId w:val="1"/>
        </w:numPr>
        <w:rPr>
          <w:b/>
          <w:bCs/>
        </w:rPr>
      </w:pPr>
      <w:r>
        <w:rPr/>
        <w:t>Common application/notice provision</w:t>
      </w:r>
    </w:p>
    <w:p>
      <w:pPr>
        <w:pStyle w:val="Normal"/>
        <w:numPr>
          <w:ilvl w:val="4"/>
          <w:numId w:val="1"/>
        </w:numPr>
        <w:rPr>
          <w:b/>
          <w:bCs/>
        </w:rPr>
      </w:pPr>
      <w:r>
        <w:rPr/>
        <w:t xml:space="preserve">Joint interagency hearings/review </w:t>
      </w:r>
    </w:p>
    <w:p>
      <w:pPr>
        <w:pStyle w:val="Normal"/>
        <w:numPr>
          <w:ilvl w:val="4"/>
          <w:numId w:val="1"/>
        </w:numPr>
        <w:rPr>
          <w:b/>
          <w:bCs/>
        </w:rPr>
      </w:pPr>
      <w:r>
        <w:rPr/>
        <w:t>Consideration of alternatives</w:t>
      </w:r>
    </w:p>
    <w:p>
      <w:pPr>
        <w:pStyle w:val="Normal"/>
        <w:numPr>
          <w:ilvl w:val="3"/>
          <w:numId w:val="1"/>
        </w:numPr>
        <w:rPr>
          <w:b/>
          <w:bCs/>
        </w:rPr>
      </w:pPr>
      <w:r>
        <w:rPr/>
        <w:t>Agencies us “joint record” as basis for decision</w:t>
      </w:r>
    </w:p>
    <w:p>
      <w:pPr>
        <w:pStyle w:val="Normal"/>
        <w:numPr>
          <w:ilvl w:val="2"/>
          <w:numId w:val="1"/>
        </w:numPr>
        <w:rPr>
          <w:b/>
          <w:bCs/>
        </w:rPr>
      </w:pPr>
      <w:r>
        <w:rPr/>
        <w:t>Interstate/province regional compact?</w:t>
      </w:r>
    </w:p>
    <w:p>
      <w:pPr>
        <w:pStyle w:val="Normal"/>
        <w:numPr>
          <w:ilvl w:val="3"/>
          <w:numId w:val="1"/>
        </w:numPr>
        <w:rPr>
          <w:b/>
          <w:bCs/>
        </w:rPr>
      </w:pPr>
      <w:r>
        <w:rPr/>
        <w:t>Formed by legislation</w:t>
      </w:r>
      <w:r>
        <w:rPr>
          <w:b/>
          <w:bCs/>
        </w:rPr>
        <w:t xml:space="preserve"> </w:t>
      </w:r>
      <w:r>
        <w:rPr/>
        <w:t>to include state, province, federal board interests</w:t>
      </w:r>
    </w:p>
    <w:p>
      <w:pPr>
        <w:pStyle w:val="Normal"/>
        <w:numPr>
          <w:ilvl w:val="3"/>
          <w:numId w:val="1"/>
        </w:numPr>
        <w:rPr>
          <w:b/>
          <w:bCs/>
        </w:rPr>
      </w:pPr>
      <w:r>
        <w:rPr/>
        <w:t>Regional siting board appointed by Governors, Prime Ministers &amp; Presidents</w:t>
      </w:r>
    </w:p>
    <w:p>
      <w:pPr>
        <w:pStyle w:val="Normal"/>
        <w:numPr>
          <w:ilvl w:val="4"/>
          <w:numId w:val="1"/>
        </w:numPr>
        <w:rPr>
          <w:b/>
          <w:bCs/>
        </w:rPr>
      </w:pPr>
      <w:r>
        <w:rPr/>
        <w:t>Board creates record of decision in its process</w:t>
      </w:r>
    </w:p>
    <w:p>
      <w:pPr>
        <w:pStyle w:val="Normal"/>
        <w:numPr>
          <w:ilvl w:val="4"/>
          <w:numId w:val="1"/>
        </w:numPr>
        <w:rPr>
          <w:b/>
          <w:bCs/>
        </w:rPr>
      </w:pPr>
      <w:r>
        <w:rPr/>
        <w:t>Decisions of regional board have standing of rebutable presumption in state reviews</w:t>
      </w:r>
    </w:p>
    <w:p>
      <w:pPr>
        <w:pStyle w:val="Normal"/>
        <w:numPr>
          <w:ilvl w:val="4"/>
          <w:numId w:val="1"/>
        </w:numPr>
        <w:rPr>
          <w:b/>
          <w:bCs/>
        </w:rPr>
      </w:pPr>
      <w:r>
        <w:rPr/>
        <w:t>State reviews time limited</w:t>
      </w:r>
    </w:p>
    <w:p>
      <w:pPr>
        <w:pStyle w:val="Normal"/>
        <w:numPr>
          <w:ilvl w:val="2"/>
          <w:numId w:val="1"/>
        </w:numPr>
        <w:rPr>
          <w:b/>
          <w:bCs/>
        </w:rPr>
      </w:pPr>
      <w:r>
        <w:rPr/>
        <w:t>Federal siting authority?</w:t>
      </w:r>
    </w:p>
    <w:p>
      <w:pPr>
        <w:pStyle w:val="Normal"/>
        <w:numPr>
          <w:ilvl w:val="3"/>
          <w:numId w:val="1"/>
        </w:numPr>
        <w:rPr>
          <w:b/>
          <w:bCs/>
        </w:rPr>
      </w:pPr>
      <w:r>
        <w:rPr/>
        <w:t>Legislation to give FERC authority in US equivalent to its gas pipeline authority</w:t>
      </w:r>
    </w:p>
    <w:p>
      <w:pPr>
        <w:pStyle w:val="Normal"/>
        <w:numPr>
          <w:ilvl w:val="3"/>
          <w:numId w:val="1"/>
        </w:numPr>
        <w:rPr>
          <w:b/>
          <w:bCs/>
        </w:rPr>
      </w:pPr>
      <w:r>
        <w:rPr/>
        <w:t>Leaves Canadian and Mexican role uncertain</w:t>
      </w:r>
    </w:p>
    <w:p>
      <w:pPr>
        <w:pStyle w:val="Normal"/>
        <w:rPr>
          <w:b/>
          <w:bCs/>
        </w:rPr>
      </w:pPr>
      <w:r>
        <w:rPr>
          <w:b/>
          <w:bCs/>
        </w:rPr>
      </w:r>
    </w:p>
    <w:p>
      <w:pPr>
        <w:pStyle w:val="Normal"/>
        <w:numPr>
          <w:ilvl w:val="0"/>
          <w:numId w:val="1"/>
        </w:numPr>
        <w:rPr>
          <w:b/>
          <w:bCs/>
        </w:rPr>
      </w:pPr>
      <w:r>
        <w:rPr>
          <w:b/>
          <w:bCs/>
        </w:rPr>
        <w:t xml:space="preserve">Environmental Protection </w:t>
      </w:r>
    </w:p>
    <w:p>
      <w:pPr>
        <w:pStyle w:val="Normal"/>
        <w:rPr>
          <w:b/>
          <w:bCs/>
        </w:rPr>
      </w:pPr>
      <w:r>
        <w:rPr>
          <w:b/>
          <w:bCs/>
        </w:rPr>
      </w:r>
    </w:p>
    <w:p>
      <w:pPr>
        <w:pStyle w:val="Normal"/>
        <w:numPr>
          <w:ilvl w:val="0"/>
          <w:numId w:val="1"/>
        </w:numPr>
        <w:rPr>
          <w:b/>
          <w:bCs/>
        </w:rPr>
      </w:pPr>
      <w:r>
        <w:rPr>
          <w:b/>
          <w:bCs/>
        </w:rPr>
        <w:t>Economic Development</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S.Walton/14June2001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i w:val="false"/>
        <w:b/>
        <w:rFonts w:ascii="Arial" w:hAnsi="Arial" w:cs="Arial"/>
      </w:rPr>
    </w:lvl>
    <w:lvl w:ilvl="1">
      <w:start w:val="1"/>
      <w:numFmt w:val="lowerLetter"/>
      <w:lvlText w:val="%2."/>
      <w:lvlJc w:val="start"/>
      <w:pPr>
        <w:tabs>
          <w:tab w:val="num" w:pos="864"/>
        </w:tabs>
        <w:ind w:start="864" w:hanging="432"/>
      </w:pPr>
      <w:rPr>
        <w:sz w:val="24"/>
        <w:i/>
        <w:b w:val="false"/>
        <w:rFonts w:ascii="Arial" w:hAnsi="Arial" w:cs="Arial"/>
      </w:rPr>
    </w:lvl>
    <w:lvl w:ilvl="2">
      <w:start w:val="1"/>
      <w:numFmt w:val="bullet"/>
      <w:lvlText w:val=""/>
      <w:lvlJc w:val="start"/>
      <w:pPr>
        <w:tabs>
          <w:tab w:val="num" w:pos="1296"/>
        </w:tabs>
        <w:ind w:start="1296" w:hanging="432"/>
      </w:pPr>
      <w:rPr>
        <w:rFonts w:ascii="Wingdings" w:hAnsi="Wingdings" w:cs="Wingdings" w:hint="default"/>
        <w:i w:val="false"/>
        <w:b w:val="false"/>
      </w:rPr>
    </w:lvl>
    <w:lvl w:ilvl="3">
      <w:start w:val="1"/>
      <w:numFmt w:val="bullet"/>
      <w:lvlText w:val=""/>
      <w:lvlJc w:val="start"/>
      <w:pPr>
        <w:tabs>
          <w:tab w:val="num" w:pos="1728"/>
        </w:tabs>
        <w:ind w:start="1728" w:hanging="432"/>
      </w:pPr>
      <w:rPr>
        <w:rFonts w:ascii="Symbol" w:hAnsi="Symbol" w:cs="Symbol" w:hint="default"/>
        <w:i w:val="false"/>
        <w:b w:val="false"/>
      </w:rPr>
    </w:lvl>
    <w:lvl w:ilvl="4">
      <w:start w:val="1"/>
      <w:numFmt w:val="bullet"/>
      <w:lvlText w:val=""/>
      <w:lvlJc w:val="start"/>
      <w:pPr>
        <w:tabs>
          <w:tab w:val="num" w:pos="2160"/>
        </w:tabs>
        <w:ind w:start="2160" w:hanging="432"/>
      </w:pPr>
      <w:rPr>
        <w:rFonts w:ascii="Symbol" w:hAnsi="Symbol" w:cs="Symbol" w:hint="default"/>
        <w:i w:val="false"/>
        <w:b w:val="false"/>
      </w:rPr>
    </w:lvl>
    <w:lvl w:ilvl="5">
      <w:start w:val="1"/>
      <w:numFmt w:val="bullet"/>
      <w:lvlText w:val=""/>
      <w:lvlJc w:val="start"/>
      <w:pPr>
        <w:tabs>
          <w:tab w:val="num" w:pos="2592"/>
        </w:tabs>
        <w:ind w:start="2592" w:hanging="432"/>
      </w:pPr>
      <w:rPr>
        <w:rFonts w:ascii="Symbol" w:hAnsi="Symbol" w:cs="Symbol" w:hint="default"/>
        <w:i w:val="false"/>
        <w:b w:val="false"/>
      </w:rPr>
    </w:lvl>
    <w:lvl w:ilvl="6">
      <w:start w:val="1"/>
      <w:numFmt w:val="none"/>
      <w:suff w:val="nothing"/>
      <w:lvlText w:val=""/>
      <w:lvlJc w:val="start"/>
      <w:pPr>
        <w:tabs>
          <w:tab w:val="num" w:pos="3024"/>
        </w:tabs>
        <w:ind w:start="3024" w:hanging="432"/>
      </w:pPr>
      <w:rPr/>
    </w:lvl>
    <w:lvl w:ilvl="7">
      <w:start w:val="1"/>
      <w:numFmt w:val="none"/>
      <w:suff w:val="nothing"/>
      <w:lvlText w:val=""/>
      <w:lvlJc w:val="start"/>
      <w:pPr>
        <w:tabs>
          <w:tab w:val="num" w:pos="3456"/>
        </w:tabs>
        <w:ind w:start="3456" w:hanging="432"/>
      </w:pPr>
      <w:rPr/>
    </w:lvl>
    <w:lvl w:ilvl="8">
      <w:start w:val="1"/>
      <w:numFmt w:val="none"/>
      <w:suff w:val="nothing"/>
      <w:lvlText w:val=""/>
      <w:lvlJc w:val="start"/>
      <w:pPr>
        <w:tabs>
          <w:tab w:val="num" w:pos="3888"/>
        </w:tabs>
        <w:ind w:start="3888" w:hanging="432"/>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1z0">
    <w:name w:val="WW8Num1z0"/>
    <w:qFormat/>
    <w:rPr>
      <w:rFonts w:ascii="Arial" w:hAnsi="Arial" w:cs="Arial"/>
      <w:b/>
      <w:i w:val="false"/>
    </w:rPr>
  </w:style>
  <w:style w:type="character" w:styleId="WW8Num1z1">
    <w:name w:val="WW8Num1z1"/>
    <w:qFormat/>
    <w:rPr>
      <w:rFonts w:ascii="Arial" w:hAnsi="Arial" w:cs="Arial"/>
      <w:b w:val="false"/>
      <w:i/>
      <w:sz w:val="24"/>
    </w:rPr>
  </w:style>
  <w:style w:type="character" w:styleId="WW8Num1z2">
    <w:name w:val="WW8Num1z2"/>
    <w:qFormat/>
    <w:rPr>
      <w:rFonts w:ascii="Wingdings" w:hAnsi="Wingdings" w:cs="Wingdings"/>
      <w:b w:val="false"/>
      <w:i w:val="false"/>
    </w:rPr>
  </w:style>
  <w:style w:type="character" w:styleId="WW8Num1z3">
    <w:name w:val="WW8Num1z3"/>
    <w:qFormat/>
    <w:rPr>
      <w:rFonts w:ascii="Symbol" w:hAnsi="Symbol" w:cs="Symbol"/>
      <w:b w:val="false"/>
      <w:i w:val="false"/>
    </w:rPr>
  </w:style>
  <w:style w:type="character" w:styleId="WW8Num1z6">
    <w:name w:val="WW8Num1z6"/>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2001-06-14T22:02:00Z</dcterms:created>
  <dc:creator>swalto2</dc:creator>
  <dc:description/>
  <dc:language>en-CA</dc:language>
  <cp:lastModifiedBy>swalto2</cp:lastModifiedBy>
  <cp:lastPrinted>2001-06-14T23:24:00Z</cp:lastPrinted>
  <dcterms:modified xsi:type="dcterms:W3CDTF">2001-06-15T02:09:00Z</dcterms:modified>
  <cp:revision>5</cp:revision>
  <dc:subject/>
  <dc:title>WGA Conceptual Transmission Work Group</dc:title>
</cp:coreProperties>
</file>