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sz w:val="26"/>
        </w:rPr>
      </w:pPr>
      <w:r>
        <w:rPr>
          <w:sz w:val="26"/>
        </w:rPr>
        <w:t>M E M O R A N D U M</w:t>
      </w:r>
    </w:p>
    <w:p>
      <w:pPr>
        <w:pStyle w:val="Normal"/>
        <w:jc w:val="both"/>
        <w:rPr>
          <w:rFonts w:ascii="Garamond" w:hAnsi="Garamond" w:cs="Garamond"/>
          <w:sz w:val="22"/>
        </w:rPr>
      </w:pPr>
      <w:r>
        <w:rPr>
          <w:rFonts w:cs="Garamond" w:ascii="Garamond" w:hAnsi="Garamond"/>
          <w:sz w:val="22"/>
        </w:rPr>
      </w:r>
    </w:p>
    <w:p>
      <w:pPr>
        <w:pStyle w:val="Heading3"/>
        <w:ind w:hanging="0" w:start="0"/>
        <w:rPr>
          <w:sz w:val="22"/>
        </w:rPr>
      </w:pPr>
      <w:r>
        <w:rPr>
          <w:sz w:val="22"/>
        </w:rPr>
        <w:t>Legal/Compliance Policies &amp; Procedures for MG Business</w:t>
      </w:r>
    </w:p>
    <w:p>
      <w:pPr>
        <w:pStyle w:val="Normal"/>
        <w:pBdr>
          <w:bottom w:val="single" w:sz="12" w:space="1" w:color="000000"/>
        </w:pBdr>
        <w:jc w:val="both"/>
        <w:rPr>
          <w:rFonts w:ascii="Garamond" w:hAnsi="Garamond" w:cs="Garamond"/>
          <w:sz w:val="22"/>
        </w:rPr>
      </w:pPr>
      <w:r>
        <w:rPr>
          <w:rFonts w:cs="Garamond" w:ascii="Garamond" w:hAnsi="Garamond"/>
          <w:sz w:val="22"/>
        </w:rPr>
      </w:r>
    </w:p>
    <w:p>
      <w:pPr>
        <w:pStyle w:val="Normal"/>
        <w:pBdr>
          <w:bottom w:val="single" w:sz="12" w:space="1" w:color="000000"/>
        </w:pBdr>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r>
    </w:p>
    <w:p>
      <w:pPr>
        <w:pStyle w:val="BodyText"/>
        <w:rPr>
          <w:sz w:val="22"/>
        </w:rPr>
      </w:pPr>
      <w:r>
        <w:rPr>
          <w:sz w:val="22"/>
        </w:rPr>
        <w:t>The following internal legal/compliance policies and procedures apply to the MG business.</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Approval of Contracts</w:t>
      </w:r>
    </w:p>
    <w:p>
      <w:pPr>
        <w:pStyle w:val="Normal"/>
        <w:jc w:val="both"/>
        <w:rPr>
          <w:rFonts w:ascii="Garamond" w:hAnsi="Garamond" w:cs="Garamond"/>
          <w:sz w:val="22"/>
        </w:rPr>
      </w:pPr>
      <w:r>
        <w:rPr>
          <w:rFonts w:cs="Garamond" w:ascii="Garamond" w:hAnsi="Garamond"/>
          <w:sz w:val="22"/>
        </w:rPr>
      </w:r>
    </w:p>
    <w:p>
      <w:pPr>
        <w:pStyle w:val="Normal"/>
        <w:jc w:val="both"/>
        <w:rPr/>
      </w:pPr>
      <w:r>
        <w:rPr>
          <w:rFonts w:cs="Garamond" w:ascii="Garamond" w:hAnsi="Garamond"/>
          <w:sz w:val="22"/>
        </w:rPr>
        <w:t>All Contracts</w:t>
      </w:r>
      <w:r>
        <w:rPr>
          <w:rStyle w:val="FootnoteCharacters"/>
          <w:rStyle w:val="FootnoteReference"/>
          <w:rFonts w:cs="Garamond" w:ascii="Garamond" w:hAnsi="Garamond"/>
          <w:sz w:val="22"/>
        </w:rPr>
        <w:footnoteReference w:id="2"/>
      </w:r>
      <w:r>
        <w:rPr>
          <w:rFonts w:cs="Garamond" w:ascii="Garamond" w:hAnsi="Garamond"/>
          <w:sz w:val="22"/>
        </w:rPr>
        <w:t xml:space="preserve"> must be reviewed and initialled by the designated Enron lawyer prior to signature.  As an exception, standard form contracts that have been pre-approved by the Enron Legal department are </w:t>
      </w:r>
      <w:r>
        <w:rPr>
          <w:rFonts w:cs="Garamond" w:ascii="Garamond" w:hAnsi="Garamond"/>
          <w:sz w:val="22"/>
          <w:u w:val="single"/>
        </w:rPr>
        <w:t>not</w:t>
      </w:r>
      <w:r>
        <w:rPr>
          <w:rFonts w:cs="Garamond" w:ascii="Garamond" w:hAnsi="Garamond"/>
          <w:sz w:val="22"/>
        </w:rPr>
        <w:t xml:space="preserve"> required to be reviewed and initialled.</w:t>
      </w:r>
    </w:p>
    <w:p>
      <w:pPr>
        <w:pStyle w:val="Normal"/>
        <w:jc w:val="both"/>
        <w:rPr>
          <w:rFonts w:ascii="Garamond" w:hAnsi="Garamond" w:cs="Garamond"/>
          <w:sz w:val="22"/>
        </w:rPr>
      </w:pPr>
      <w:r>
        <w:rPr>
          <w:rFonts w:cs="Garamond" w:ascii="Garamond" w:hAnsi="Garamond"/>
          <w:sz w:val="22"/>
        </w:rPr>
      </w:r>
    </w:p>
    <w:p>
      <w:pPr>
        <w:pStyle w:val="Heading4"/>
        <w:ind w:hanging="0" w:start="0"/>
        <w:rPr>
          <w:sz w:val="22"/>
        </w:rPr>
      </w:pPr>
      <w:r>
        <w:rPr>
          <w:sz w:val="22"/>
        </w:rPr>
        <w:t>Contract Authorisation Control Sheet (CACS) &amp; Deal Approval Sheet (DASH) Forms</w:t>
      </w:r>
    </w:p>
    <w:p>
      <w:pPr>
        <w:pStyle w:val="Normal"/>
        <w:jc w:val="both"/>
        <w:rPr>
          <w:rFonts w:ascii="Garamond" w:hAnsi="Garamond" w:cs="Garamond"/>
          <w:sz w:val="22"/>
          <w:u w:val="single"/>
        </w:rPr>
      </w:pPr>
      <w:r>
        <w:rPr>
          <w:rFonts w:cs="Garamond" w:ascii="Garamond" w:hAnsi="Garamond"/>
          <w:sz w:val="22"/>
          <w:u w:val="single"/>
        </w:rPr>
      </w:r>
    </w:p>
    <w:p>
      <w:pPr>
        <w:pStyle w:val="BodyText2"/>
        <w:rPr/>
      </w:pPr>
      <w:r>
        <w:rPr/>
        <w:t>A CACS form must be signed by all relevant internal signatories before the applicable Contract is signed. Guidance as to the applicable signatories is contained in the notes to the CACS form.  The designated Enron lawyer will determine on a case-by-case basis whether a CACS form is required.  A CACS form will not be required for trading transactions that comply with Enron’s trading policy (including applicable trading limits) and that are entered into on Enron’s pre-approved trading forms of contract.  In addition to the above, a separate DASH form will be required for transactions involving a capital commitment (e.g. acquisitions, prepays, guarantees of third parties) or asset disposals in excess of US$500,000, as well as for certain trading transactions creating significant credit or market risks not covered under existing trading limits.  The originator of such transactions should contact RAC (Underwriting) as early as possible to discuss the approval process (including Enron Corp. board approval where required).</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Signature of Contracts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Contracts may only be signed by authorised persons.</w:t>
      </w:r>
    </w:p>
    <w:p>
      <w:pPr>
        <w:pStyle w:val="Normal"/>
        <w:jc w:val="both"/>
        <w:rPr>
          <w:rFonts w:ascii="Garamond" w:hAnsi="Garamond" w:cs="Garamond"/>
          <w:sz w:val="22"/>
        </w:rPr>
      </w:pPr>
      <w:r>
        <w:rPr>
          <w:rFonts w:cs="Garamond" w:ascii="Garamond" w:hAnsi="Garamond"/>
          <w:sz w:val="22"/>
        </w:rPr>
      </w:r>
    </w:p>
    <w:p>
      <w:pPr>
        <w:pStyle w:val="Heading7"/>
        <w:ind w:hanging="0" w:start="0"/>
        <w:rPr/>
      </w:pPr>
      <w:r>
        <w:rPr/>
        <w:t>SFA, etc</w:t>
      </w:r>
    </w:p>
    <w:p>
      <w:pPr>
        <w:pStyle w:val="Normal"/>
        <w:rPr/>
      </w:pPr>
      <w:r>
        <w:rPr/>
      </w:r>
    </w:p>
    <w:p>
      <w:pPr>
        <w:pStyle w:val="Normal"/>
        <w:jc w:val="both"/>
        <w:rPr>
          <w:rFonts w:ascii="Garamond" w:hAnsi="Garamond" w:cs="Garamond"/>
          <w:sz w:val="22"/>
        </w:rPr>
      </w:pPr>
      <w:r>
        <w:rPr>
          <w:rFonts w:cs="Garamond" w:ascii="Garamond" w:hAnsi="Garamond"/>
          <w:sz w:val="22"/>
        </w:rPr>
        <w:t>All compliance queries, including business expansion proposals, should be referred to the Enron Legal  department (contact Paul Simons/Lin Richardson).</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Press Releases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press announcements must be approved by the Enron Legal and PR departments before release.</w:t>
      </w:r>
    </w:p>
    <w:p>
      <w:pPr>
        <w:pStyle w:val="Heading2"/>
        <w:ind w:hanging="0" w:start="0"/>
        <w:jc w:val="both"/>
        <w:rPr>
          <w:rFonts w:ascii="Garamond" w:hAnsi="Garamond" w:cs="Garamond"/>
          <w:sz w:val="22"/>
          <w:u w:val="none"/>
        </w:rPr>
      </w:pPr>
      <w:r>
        <w:rPr>
          <w:rFonts w:cs="Garamond" w:ascii="Garamond" w:hAnsi="Garamond"/>
          <w:sz w:val="22"/>
          <w:u w:val="none"/>
        </w:rPr>
      </w:r>
    </w:p>
    <w:p>
      <w:pPr>
        <w:pStyle w:val="Heading2"/>
        <w:ind w:hanging="0" w:start="0"/>
        <w:jc w:val="both"/>
        <w:rPr>
          <w:rFonts w:ascii="Garamond" w:hAnsi="Garamond" w:cs="Garamond"/>
          <w:sz w:val="22"/>
        </w:rPr>
      </w:pPr>
      <w:r>
        <w:rPr>
          <w:rFonts w:cs="Garamond" w:ascii="Garamond" w:hAnsi="Garamond"/>
          <w:sz w:val="22"/>
        </w:rPr>
        <w:t>Litigation</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Any potential or actual litigation, arbitration or other legal proceedings must immediately be notified to the Enron Legal department.</w:t>
      </w:r>
    </w:p>
    <w:p>
      <w:pPr>
        <w:pStyle w:val="Heading2"/>
        <w:ind w:hanging="0" w:start="0"/>
        <w:jc w:val="both"/>
        <w:rPr>
          <w:rFonts w:ascii="Garamond" w:hAnsi="Garamond" w:cs="Garamond"/>
          <w:sz w:val="22"/>
        </w:rPr>
      </w:pPr>
      <w:r>
        <w:rPr>
          <w:rFonts w:cs="Garamond" w:ascii="Garamond" w:hAnsi="Garamond"/>
          <w:sz w:val="22"/>
        </w:rPr>
      </w:r>
      <w:r>
        <w:br w:type="page"/>
      </w:r>
    </w:p>
    <w:p>
      <w:pPr>
        <w:pStyle w:val="Heading2"/>
        <w:ind w:hanging="0" w:start="0"/>
        <w:jc w:val="both"/>
        <w:rPr>
          <w:rFonts w:ascii="Garamond" w:hAnsi="Garamond" w:cs="Garamond"/>
          <w:sz w:val="22"/>
        </w:rPr>
      </w:pPr>
      <w:r>
        <w:rPr>
          <w:rFonts w:cs="Garamond" w:ascii="Garamond" w:hAnsi="Garamond"/>
          <w:sz w:val="22"/>
        </w:rPr>
        <w:t>Employment</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human resources and other employment matters must immediately be notified to the Enron Legal and Human Resources departments.</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Enron Corp. Guarantees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The provision of any guarantees from Enron Corp. must be pre-approved by Enron Corp., and coordinated with the Enron Legal, Global Finance and CRM departments.  Certain guarantees also require the preparation of a DASH form (contact RAC for details).  All Enron Corp. guarantees are prepared on pre-approved standard forms, and no changes may be made to these forms without the prior approval of Enron Corp.</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Consulting/Agency/Service Agreements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consulting, agency and service agreements must be approved by the Enron Legal department and by Enron Corp. prior to signature.</w:t>
      </w:r>
    </w:p>
    <w:p>
      <w:pPr>
        <w:pStyle w:val="Normal"/>
        <w:jc w:val="both"/>
        <w:rPr>
          <w:rFonts w:ascii="Garamond" w:hAnsi="Garamond" w:cs="Garamond"/>
          <w:sz w:val="22"/>
        </w:rPr>
      </w:pPr>
      <w:r>
        <w:rPr>
          <w:rFonts w:cs="Garamond" w:ascii="Garamond" w:hAnsi="Garamond"/>
          <w:sz w:val="22"/>
        </w:rPr>
      </w:r>
    </w:p>
    <w:p>
      <w:pPr>
        <w:pStyle w:val="Heading4"/>
        <w:ind w:hanging="0" w:start="0"/>
        <w:rPr>
          <w:sz w:val="22"/>
        </w:rPr>
      </w:pPr>
      <w:r>
        <w:rPr>
          <w:sz w:val="22"/>
        </w:rPr>
        <w:t>US Laws</w:t>
      </w:r>
    </w:p>
    <w:p>
      <w:pPr>
        <w:pStyle w:val="Normal"/>
        <w:jc w:val="both"/>
        <w:rPr>
          <w:rFonts w:ascii="Garamond" w:hAnsi="Garamond" w:cs="Garamond"/>
          <w:sz w:val="22"/>
          <w:u w:val="single"/>
        </w:rPr>
      </w:pPr>
      <w:r>
        <w:rPr>
          <w:rFonts w:cs="Garamond" w:ascii="Garamond" w:hAnsi="Garamond"/>
          <w:sz w:val="22"/>
          <w:u w:val="single"/>
        </w:rPr>
      </w:r>
    </w:p>
    <w:p>
      <w:pPr>
        <w:pStyle w:val="Normal"/>
        <w:jc w:val="both"/>
        <w:rPr>
          <w:rFonts w:ascii="Garamond" w:hAnsi="Garamond" w:cs="Garamond"/>
          <w:sz w:val="22"/>
        </w:rPr>
      </w:pPr>
      <w:r>
        <w:rPr>
          <w:rFonts w:cs="Garamond" w:ascii="Garamond" w:hAnsi="Garamond"/>
          <w:sz w:val="22"/>
        </w:rPr>
        <w:t>US laws may apply to certain transactions (e.g. Commodity Trading Act; Foreign Corrupt Practices Act; trade restrictions; anti-boycott laws; securities and anti-trust laws). Additional information concerning these laws will be separately circulated by the Enron Legal department.</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Involvement of other Enron commercial support groups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other Enron commercial support groups (e.g. RAC, CRM, EOL Product Control Group, Tax, Financial Operations) must be involved, where applicable.</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Contracts Storage</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original executed Contracts must be sent to the Enron Records Management Group (contact Paul Jones) for storing and imaging.</w:t>
      </w:r>
    </w:p>
    <w:p>
      <w:pPr>
        <w:pStyle w:val="Normal"/>
        <w:jc w:val="both"/>
        <w:rPr>
          <w:rFonts w:ascii="Garamond" w:hAnsi="Garamond" w:cs="Garamond"/>
          <w:sz w:val="22"/>
        </w:rPr>
      </w:pPr>
      <w:r>
        <w:rPr>
          <w:rFonts w:cs="Garamond" w:ascii="Garamond" w:hAnsi="Garamond"/>
          <w:sz w:val="22"/>
        </w:rPr>
      </w:r>
    </w:p>
    <w:p>
      <w:pPr>
        <w:pStyle w:val="Heading2"/>
        <w:ind w:hanging="0" w:start="0"/>
        <w:jc w:val="both"/>
        <w:rPr>
          <w:rFonts w:ascii="Garamond" w:hAnsi="Garamond" w:cs="Garamond"/>
          <w:sz w:val="22"/>
        </w:rPr>
      </w:pPr>
      <w:r>
        <w:rPr>
          <w:rFonts w:cs="Garamond" w:ascii="Garamond" w:hAnsi="Garamond"/>
          <w:sz w:val="22"/>
        </w:rPr>
        <w:t>Enron’s Conduct of Business Affairs Booklet</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Enron’s Conduct of Business Affairs Booklet, which will be separately circulated by the Enron Legal department, contains additional information relating to Enron’s policies and controls.</w:t>
      </w:r>
    </w:p>
    <w:p>
      <w:pPr>
        <w:pStyle w:val="Normal"/>
        <w:jc w:val="both"/>
        <w:rPr>
          <w:rFonts w:ascii="Garamond" w:hAnsi="Garamond" w:cs="Garamond"/>
          <w:sz w:val="22"/>
        </w:rPr>
      </w:pPr>
      <w:r>
        <w:rPr>
          <w:rFonts w:cs="Garamond" w:ascii="Garamond" w:hAnsi="Garamond"/>
          <w:sz w:val="22"/>
        </w:rPr>
      </w:r>
    </w:p>
    <w:p>
      <w:pPr>
        <w:pStyle w:val="Heading4"/>
        <w:ind w:hanging="0" w:start="0"/>
        <w:rPr>
          <w:sz w:val="22"/>
        </w:rPr>
      </w:pPr>
      <w:r>
        <w:rPr>
          <w:sz w:val="22"/>
        </w:rPr>
        <w:t>Corporate Secretarial Matters</w:t>
      </w:r>
    </w:p>
    <w:p>
      <w:pPr>
        <w:pStyle w:val="Normal"/>
        <w:jc w:val="both"/>
        <w:rPr>
          <w:rFonts w:ascii="Garamond" w:hAnsi="Garamond" w:cs="Garamond"/>
          <w:sz w:val="22"/>
          <w:u w:val="single"/>
        </w:rPr>
      </w:pPr>
      <w:r>
        <w:rPr>
          <w:rFonts w:cs="Garamond" w:ascii="Garamond" w:hAnsi="Garamond"/>
          <w:sz w:val="22"/>
          <w:u w:val="single"/>
        </w:rPr>
      </w:r>
    </w:p>
    <w:p>
      <w:pPr>
        <w:pStyle w:val="BodyText"/>
        <w:rPr>
          <w:sz w:val="22"/>
        </w:rPr>
      </w:pPr>
      <w:r>
        <w:rPr>
          <w:sz w:val="22"/>
        </w:rPr>
        <w:t>The formation of new companies and the appointment of new directors must be co-ordinated with the Enron Legal department  (contact Sue Kelly).</w:t>
      </w:r>
    </w:p>
    <w:p>
      <w:pPr>
        <w:pStyle w:val="Normal"/>
        <w:jc w:val="both"/>
        <w:rPr>
          <w:rFonts w:ascii="Garamond" w:hAnsi="Garamond" w:cs="Garamond"/>
          <w:sz w:val="22"/>
        </w:rPr>
      </w:pPr>
      <w:r>
        <w:rPr>
          <w:rFonts w:cs="Garamond" w:ascii="Garamond" w:hAnsi="Garamond"/>
          <w:sz w:val="22"/>
        </w:rPr>
      </w:r>
    </w:p>
    <w:p>
      <w:pPr>
        <w:pStyle w:val="Heading4"/>
        <w:ind w:hanging="0" w:start="0"/>
        <w:rPr>
          <w:sz w:val="22"/>
        </w:rPr>
      </w:pPr>
      <w:r>
        <w:rPr>
          <w:sz w:val="22"/>
        </w:rPr>
        <w:t>External Legal Counsel</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All external counsel must be appointed and, unless otherwise permitted, exclusively instructed by the Enron Legal department.</w:t>
      </w:r>
    </w:p>
    <w:p>
      <w:pPr>
        <w:pStyle w:val="Normal"/>
        <w:jc w:val="both"/>
        <w:rPr>
          <w:rFonts w:ascii="Garamond" w:hAnsi="Garamond" w:cs="Garamond"/>
          <w:sz w:val="22"/>
        </w:rPr>
      </w:pPr>
      <w:r>
        <w:rPr>
          <w:rFonts w:cs="Garamond" w:ascii="Garamond" w:hAnsi="Garamond"/>
          <w:sz w:val="22"/>
        </w:rPr>
      </w:r>
    </w:p>
    <w:p>
      <w:pPr>
        <w:pStyle w:val="Heading7"/>
        <w:ind w:hanging="0" w:start="0"/>
        <w:rPr/>
      </w:pPr>
      <w:r>
        <w:rPr/>
        <w:t>Anti-Money Laundering</w:t>
      </w:r>
    </w:p>
    <w:p>
      <w:pPr>
        <w:pStyle w:val="BodyText2"/>
        <w:rPr/>
      </w:pPr>
      <w:r>
        <w:rPr/>
      </w:r>
    </w:p>
    <w:p>
      <w:pPr>
        <w:pStyle w:val="BodyText2"/>
        <w:rPr/>
      </w:pPr>
      <w:r>
        <w:rPr/>
        <w:t>The UK Anti-Money Laundering Regulations must be complied with.</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MGintegration/policies&amp;procedures</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rFonts w:cs="Garamond" w:ascii="Garamond" w:hAnsi="Garamond"/>
          <w:sz w:val="18"/>
        </w:rPr>
        <w:t>“</w:t>
      </w:r>
      <w:r>
        <w:rPr>
          <w:rFonts w:cs="Garamond" w:ascii="Garamond" w:hAnsi="Garamond"/>
          <w:sz w:val="18"/>
        </w:rPr>
        <w:t xml:space="preserve">Contract” means any agreement, confirmation, term sheet, letter of intent, memorandum of understanding, contract amendment supplement or modification, or other communication (including faxes, telexes and email) that could reasonably be expected to impose an obligation or liability on MG or Enron.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center"/>
      <w:outlineLvl w:val="2"/>
    </w:pPr>
    <w:rPr>
      <w:rFonts w:ascii="Garamond" w:hAnsi="Garamond" w:cs="Garamond"/>
      <w:b/>
      <w:bCs/>
      <w:u w:val="single"/>
    </w:rPr>
  </w:style>
  <w:style w:type="paragraph" w:styleId="Heading4">
    <w:name w:val="heading 4"/>
    <w:basedOn w:val="Normal"/>
    <w:next w:val="Normal"/>
    <w:qFormat/>
    <w:pPr>
      <w:keepNext w:val="true"/>
      <w:numPr>
        <w:ilvl w:val="3"/>
        <w:numId w:val="1"/>
      </w:numPr>
      <w:jc w:val="both"/>
      <w:outlineLvl w:val="3"/>
    </w:pPr>
    <w:rPr>
      <w:rFonts w:ascii="Garamond" w:hAnsi="Garamond" w:cs="Garamond"/>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center"/>
      <w:outlineLvl w:val="5"/>
    </w:pPr>
    <w:rPr>
      <w:rFonts w:ascii="Garamond" w:hAnsi="Garamond" w:cs="Garamond"/>
      <w:b/>
      <w:bCs/>
      <w:sz w:val="28"/>
    </w:rPr>
  </w:style>
  <w:style w:type="paragraph" w:styleId="Heading7">
    <w:name w:val="heading 7"/>
    <w:basedOn w:val="Normal"/>
    <w:next w:val="Normal"/>
    <w:qFormat/>
    <w:pPr>
      <w:keepNext w:val="true"/>
      <w:numPr>
        <w:ilvl w:val="6"/>
        <w:numId w:val="1"/>
      </w:numPr>
      <w:jc w:val="both"/>
      <w:outlineLvl w:val="6"/>
    </w:pPr>
    <w:rPr>
      <w:rFonts w:ascii="Garamond" w:hAnsi="Garamond" w:cs="Garamond"/>
      <w:sz w:val="22"/>
      <w:szCs w:val="22"/>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Garamond" w:hAnsi="Garamond" w:cs="Garamond"/>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sz w:val="20"/>
      <w:szCs w:val="20"/>
    </w:rPr>
  </w:style>
  <w:style w:type="paragraph" w:styleId="Date">
    <w:name w:val="Date"/>
    <w:basedOn w:val="Normal"/>
    <w:qFormat/>
    <w:pPr/>
    <w:rPr>
      <w:rFonts w:ascii="Arial" w:hAnsi="Arial" w:cs="Arial"/>
      <w:sz w:val="20"/>
      <w:szCs w:val="20"/>
    </w:rPr>
  </w:style>
  <w:style w:type="paragraph" w:styleId="To">
    <w:name w:val="To"/>
    <w:basedOn w:val="Normal"/>
    <w:qFormat/>
    <w:pPr/>
    <w:rPr>
      <w:rFonts w:ascii="Arial" w:hAnsi="Arial" w:cs="Arial"/>
      <w:sz w:val="20"/>
      <w:szCs w:val="20"/>
    </w:rPr>
  </w:style>
  <w:style w:type="paragraph" w:styleId="From">
    <w:name w:val="From"/>
    <w:basedOn w:val="Normal"/>
    <w:qFormat/>
    <w:pPr/>
    <w:rPr>
      <w:rFonts w:ascii="Arial" w:hAnsi="Arial" w:cs="Arial"/>
      <w:sz w:val="20"/>
      <w:szCs w:val="20"/>
    </w:rPr>
  </w:style>
  <w:style w:type="paragraph" w:styleId="Department">
    <w:name w:val="Department"/>
    <w:basedOn w:val="Normal"/>
    <w:qFormat/>
    <w:pPr/>
    <w:rPr>
      <w:rFonts w:ascii="Arial" w:hAnsi="Arial" w:cs="Arial"/>
      <w:sz w:val="20"/>
      <w:szCs w:val="20"/>
    </w:rPr>
  </w:style>
  <w:style w:type="paragraph" w:styleId="FootnoteText">
    <w:name w:val="footnote text"/>
    <w:basedOn w:val="Normal"/>
    <w:pPr/>
    <w:rPr>
      <w:sz w:val="20"/>
      <w:szCs w:val="20"/>
    </w:rPr>
  </w:style>
  <w:style w:type="paragraph" w:styleId="BodyText2">
    <w:name w:val="Body Text 2"/>
    <w:basedOn w:val="Normal"/>
    <w:qFormat/>
    <w:pPr>
      <w:jc w:val="both"/>
    </w:pPr>
    <w:rPr>
      <w:rFonts w:ascii="Garamond" w:hAnsi="Garamond" w:cs="Garamond"/>
      <w:sz w:val="22"/>
      <w:szCs w:val="22"/>
    </w:rPr>
  </w:style>
  <w:style w:type="paragraph" w:styleId="Subtitle">
    <w:name w:val="Subtitle"/>
    <w:basedOn w:val="Normal"/>
    <w:next w:val="BodyText"/>
    <w:qFormat/>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2000-07-20T09:54:00Z</dcterms:created>
  <dc:creator>tfoy</dc:creator>
  <dc:description/>
  <dc:language>en-CA</dc:language>
  <cp:lastModifiedBy>Anita Lynch</cp:lastModifiedBy>
  <cp:lastPrinted>2000-07-18T14:58:00Z</cp:lastPrinted>
  <dcterms:modified xsi:type="dcterms:W3CDTF">2000-07-20T09:54:00Z</dcterms:modified>
  <cp:revision>2</cp:revision>
  <dc:subject/>
  <dc:title>CONFIDIENTIAL</dc:title>
</cp:coreProperties>
</file>