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rPr>
      </w:pPr>
      <w:r>
        <w:rPr>
          <w:b/>
        </w:rPr>
        <w:t>Poland Version 2 - 27 November 1999</w:t>
      </w:r>
    </w:p>
    <w:p>
      <w:pPr>
        <w:pStyle w:val="Normal"/>
        <w:jc w:val="center"/>
        <w:rPr>
          <w:b/>
        </w:rPr>
      </w:pPr>
      <w:r>
        <w:rPr>
          <w:b/>
        </w:rPr>
        <w:t>ELECTRONIC TRADING AGREEMENT</w:t>
      </w:r>
    </w:p>
    <w:p>
      <w:pPr>
        <w:pStyle w:val="Normal"/>
        <w:jc w:val="both"/>
        <w:rPr/>
      </w:pPr>
      <w:r>
        <w:rPr/>
        <w:t xml:space="preserve">WHEREAS, Enron Power Operations Limited whose registered office is at Enron House, 40 Grosvenor Place, London SW1X 7EN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 xml:space="preserve">1. </w:t>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jc w:val="both"/>
        <w:rPr/>
      </w:pPr>
      <w:r>
        <w:rPr>
          <w:b/>
        </w:rPr>
        <w:t xml:space="preserve">2. </w:t>
      </w:r>
      <w:r>
        <w:rPr>
          <w:b/>
          <w:u w:val="single"/>
        </w:rPr>
        <w:t>REPRESENTATIONS, WARRANTIES AND COVENANTS.</w:t>
      </w:r>
    </w:p>
    <w:p>
      <w:pPr>
        <w:pStyle w:val="Normal"/>
        <w:jc w:val="both"/>
        <w:rPr/>
      </w:pPr>
      <w:r>
        <w:rPr/>
        <w:t>Counterparty hereby represents, warrants and covenants as follows:</w:t>
      </w:r>
    </w:p>
    <w:p>
      <w:pPr>
        <w:pStyle w:val="Normal"/>
        <w:jc w:val="both"/>
        <w:rPr/>
      </w:pPr>
      <w:r>
        <w:rPr/>
        <w:t>(a) 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w:t>
      </w:r>
    </w:p>
    <w:p>
      <w:pPr>
        <w:pStyle w:val="Normal"/>
        <w:jc w:val="both"/>
        <w:rPr/>
      </w:pPr>
      <w:r>
        <w:rPr/>
        <w:t>(b) 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jc w:val="both"/>
        <w:rPr/>
      </w:pPr>
      <w:r>
        <w:rPr/>
        <w:t>(c) Counterparty shall comply with any and all laws, rules, regulations or orders applicable to Counterparty’s access to and use of the Website. Counterparty shall not enter into any Transaction which would violate mandatory provisions of law applicable to it and result in unenforceability of Counterparty's obligations under that Transaction.</w:t>
      </w:r>
    </w:p>
    <w:p>
      <w:pPr>
        <w:pStyle w:val="Normal"/>
        <w:jc w:val="both"/>
        <w:rPr/>
      </w:pPr>
      <w:r>
        <w:rPr/>
        <w:t>(d) 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pPr>
      <w:r>
        <w:rPr/>
        <w:t>(e) 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jc w:val="both"/>
        <w:rPr/>
      </w:pPr>
      <w:r>
        <w:rPr/>
        <w:t>(f) 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Counterparty any rights in respect of such sites.</w:t>
      </w:r>
    </w:p>
    <w:p>
      <w:pPr>
        <w:pStyle w:val="Normal"/>
        <w:jc w:val="both"/>
        <w:rPr/>
      </w:pPr>
      <w:r>
        <w:rPr/>
        <w:t xml:space="preserve">(g) 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jc w:val="both"/>
        <w:rPr/>
      </w:pPr>
      <w:r>
        <w:rPr>
          <w:b/>
        </w:rPr>
        <w:t xml:space="preserve">3. </w:t>
      </w:r>
      <w:r>
        <w:rPr>
          <w:b/>
          <w:u w:val="single"/>
        </w:rPr>
        <w:t>TRANSACTIONS</w:t>
      </w:r>
      <w:r>
        <w:rPr>
          <w:b/>
        </w:rPr>
        <w:t>.</w:t>
      </w:r>
    </w:p>
    <w:p>
      <w:pPr>
        <w:pStyle w:val="Normal"/>
        <w:jc w:val="both"/>
        <w:rPr/>
      </w:pPr>
      <w:r>
        <w:rPr/>
        <w:t xml:space="preserve">(a) 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between Counterparty and the Enron entity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jc w:val="both"/>
        <w:rPr/>
      </w:pPr>
      <w:r>
        <w:rPr/>
        <w:t>(b) A Transaction will be initiated by Counterparty offering to buy from, or sell to, Enron, by "clicking" on the designated spaces on the Website. The Website is not, and shall not be construed as, an offer to buy or sell by Enron.</w:t>
      </w:r>
    </w:p>
    <w:p>
      <w:pPr>
        <w:pStyle w:val="Normal"/>
        <w:jc w:val="both"/>
        <w:rPr/>
      </w:pPr>
      <w:r>
        <w:rPr/>
        <w:t>(c) Enron may accept or reject Counterparty’s offer at its sole discretion. A Transaction shall be deemed executed at the time that Enron first signifies its acceptance of Counterparty’s offer, accessible on the Website server.</w:t>
      </w:r>
    </w:p>
    <w:p>
      <w:pPr>
        <w:pStyle w:val="Normal"/>
        <w:jc w:val="both"/>
        <w:rPr/>
      </w:pPr>
      <w:r>
        <w:rPr/>
        <w:t>(d) 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jc w:val="both"/>
        <w:rPr/>
      </w:pPr>
      <w:r>
        <w:rPr/>
        <w:t>(e) Enron may furnish Counterparty with a confirmation of each Transaction executed through the Website, but in the event of any conflict, Enron's electronic records or paper copies of such electronic records shall prevail.</w:t>
      </w:r>
    </w:p>
    <w:p>
      <w:pPr>
        <w:pStyle w:val="Normal"/>
        <w:jc w:val="both"/>
        <w:rPr/>
      </w:pPr>
      <w:r>
        <w:rPr>
          <w:b/>
        </w:rPr>
        <w:t xml:space="preserve">4. </w:t>
      </w:r>
      <w:r>
        <w:rPr>
          <w:b/>
          <w:u w:val="single"/>
        </w:rPr>
        <w:t>LIMITATION OF LIABILITY; INDEMNITY.</w:t>
      </w:r>
    </w:p>
    <w:p>
      <w:pPr>
        <w:pStyle w:val="Normal"/>
        <w:jc w:val="both"/>
        <w:rPr/>
      </w:pPr>
      <w:r>
        <w:rPr/>
        <w:t xml:space="preserve">(a) 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jc w:val="both"/>
        <w:rPr/>
      </w:pPr>
      <w:r>
        <w:rPr/>
        <w:t>(b) 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pPr>
      <w:r>
        <w:rPr/>
        <w:t>(c) Nothing in this Agreement shall have the effect of limiting or restricting either party's liability arising as a result of fraud.</w:t>
      </w:r>
    </w:p>
    <w:p>
      <w:pPr>
        <w:pStyle w:val="Normal"/>
        <w:jc w:val="both"/>
        <w:rPr/>
      </w:pPr>
      <w:r>
        <w:rPr>
          <w:b/>
        </w:rPr>
        <w:t xml:space="preserve">5. </w:t>
      </w:r>
      <w:r>
        <w:rPr>
          <w:b/>
          <w:u w:val="single"/>
        </w:rPr>
        <w:t>CONFIDENTIALITY</w:t>
      </w:r>
      <w:r>
        <w:rPr>
          <w:b/>
        </w:rPr>
        <w:t>.</w:t>
      </w:r>
    </w:p>
    <w:p>
      <w:pPr>
        <w:pStyle w:val="Normal"/>
        <w:jc w:val="both"/>
        <w:rPr/>
      </w:pPr>
      <w:r>
        <w:rPr/>
        <w:t>(a)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(b) 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 or (iii) is disclosed to any consultants, bankers, financiers or legal advisors of the disclosing party.</w:t>
      </w:r>
    </w:p>
    <w:p>
      <w:pPr>
        <w:pStyle w:val="Normal"/>
        <w:jc w:val="both"/>
        <w:rPr/>
      </w:pPr>
      <w:r>
        <w:rPr/>
        <w:t>(c) 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clause 5 (but excluding clause 5(b)(iii)).</w:t>
      </w:r>
    </w:p>
    <w:p>
      <w:pPr>
        <w:pStyle w:val="Normal"/>
        <w:jc w:val="both"/>
        <w:rPr/>
      </w:pPr>
      <w:r>
        <w:rPr>
          <w:b/>
        </w:rPr>
        <w:t xml:space="preserve">6. </w:t>
      </w:r>
      <w:r>
        <w:rPr>
          <w:b/>
          <w:u w:val="single"/>
        </w:rPr>
        <w:t>GENERAL</w:t>
      </w:r>
      <w:r>
        <w:rPr>
          <w:b/>
        </w:rPr>
        <w:t>.</w:t>
      </w:r>
    </w:p>
    <w:p>
      <w:pPr>
        <w:pStyle w:val="Normal"/>
        <w:jc w:val="both"/>
        <w:rPr/>
      </w:pPr>
      <w:r>
        <w:rPr/>
        <w:t xml:space="preserve">(a) 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clause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t>(b) This Agreement may not be assigned by Counterparty without the express prior written consent of Enron. This Agreement shall be binding upon each party and its successors and permitted assigns in accordance with its terms.</w:t>
      </w:r>
    </w:p>
    <w:p>
      <w:pPr>
        <w:pStyle w:val="Normal"/>
        <w:jc w:val="both"/>
        <w:rPr/>
      </w:pPr>
      <w:r>
        <w:rPr/>
        <w:t>(c) The Counterparty shall be solely responsible for all third party costs associated with its accessing and utilizing the Website.</w:t>
      </w:r>
    </w:p>
    <w:p>
      <w:pPr>
        <w:pStyle w:val="Normal"/>
        <w:jc w:val="both"/>
        <w:rPr/>
      </w:pPr>
      <w:r>
        <w:rPr/>
        <w:t>(d) 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 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jc w:val="both"/>
        <w:rPr/>
      </w:pPr>
      <w:r>
        <w:rPr/>
        <w:t>(f) This Agreement shall be governed by and construed in accordance with English law and the parties hereby submit to the exclusive jurisdiction of the English Courts.</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1999-11-30T00:47:00Z</dcterms:created>
  <dc:creator>dhalley</dc:creator>
  <dc:description/>
  <dc:language>en-CA</dc:language>
  <cp:lastModifiedBy>dhalley</cp:lastModifiedBy>
  <dcterms:modified xsi:type="dcterms:W3CDTF">1999-11-30T00:47:00Z</dcterms:modified>
  <cp:revision>1</cp:revision>
  <dc:subject/>
  <dc:title>Poland Version 2 - 27 November 1999</dc:title>
</cp:coreProperties>
</file>