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Poland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the ETA and Transactions (save as otherwise stated on the Website) will be governed by and construed in accordance with English law and the parties hereby submit to the exclusive jurisdiction of the English Courts with respect to this Password Application, the ETA and Transactions (save as otherwise stated on the Website).</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r>
        <w:trPr/>
        <w:tc>
          <w:tcPr>
            <w:tcW w:w="5224" w:type="dxa"/>
            <w:tcBorders/>
          </w:tcPr>
          <w:p>
            <w:pPr>
              <w:pStyle w:val="Normal"/>
              <w:widowControl w:val="false"/>
              <w:bidi w:val="0"/>
              <w:spacing w:before="100" w:after="100"/>
              <w:rPr/>
            </w:pPr>
            <w:r>
              <w:rPr/>
              <w:t> </w:t>
            </w:r>
          </w:p>
        </w:tc>
        <w:tc>
          <w:tcPr>
            <w:tcW w:w="3940" w:type="dxa"/>
            <w:tcBorders/>
          </w:tcPr>
          <w:p>
            <w:pPr>
              <w:pStyle w:val="Normal"/>
              <w:spacing w:before="100" w:after="100"/>
              <w:rPr>
                <w:sz w:val="18"/>
              </w:rPr>
            </w:pPr>
            <w:r>
              <w:rPr>
                <w:sz w:val="18"/>
              </w:rPr>
              <w:t>________________________________________</w:t>
            </w:r>
          </w:p>
          <w:p>
            <w:pPr>
              <w:pStyle w:val="Normal"/>
              <w:spacing w:before="100" w:after="100"/>
              <w:rPr>
                <w:sz w:val="18"/>
              </w:rPr>
            </w:pPr>
            <w:r>
              <w:rPr>
                <w:sz w:val="18"/>
              </w:rPr>
              <w:t>Seat and Address</w:t>
            </w:r>
          </w:p>
        </w:tc>
      </w:tr>
      <w:tr>
        <w:trPr/>
        <w:tc>
          <w:tcPr>
            <w:tcW w:w="5224" w:type="dxa"/>
            <w:tcBorders/>
          </w:tcPr>
          <w:p>
            <w:pPr>
              <w:pStyle w:val="Normal"/>
              <w:widowControl w:val="false"/>
              <w:bidi w:val="0"/>
              <w:spacing w:before="100" w:after="100"/>
              <w:rPr/>
            </w:pPr>
            <w:r>
              <w:rPr/>
              <w:t> </w:t>
            </w:r>
          </w:p>
        </w:tc>
        <w:tc>
          <w:tcPr>
            <w:tcW w:w="3940" w:type="dxa"/>
            <w:tcBorders/>
          </w:tcPr>
          <w:p>
            <w:pPr>
              <w:pStyle w:val="Normal"/>
              <w:spacing w:before="100" w:after="100"/>
              <w:rPr>
                <w:sz w:val="18"/>
              </w:rPr>
            </w:pPr>
            <w:r>
              <w:rPr>
                <w:sz w:val="18"/>
              </w:rPr>
              <w:t>________________________________________</w:t>
            </w:r>
          </w:p>
          <w:p>
            <w:pPr>
              <w:pStyle w:val="Normal"/>
              <w:spacing w:before="100" w:after="100"/>
              <w:rPr>
                <w:sz w:val="18"/>
              </w:rPr>
            </w:pPr>
            <w:r>
              <w:rPr>
                <w:sz w:val="18"/>
              </w:rPr>
              <w:t>Names of members of Management Board</w:t>
            </w:r>
          </w:p>
        </w:tc>
      </w:tr>
      <w:tr>
        <w:trPr/>
        <w:tc>
          <w:tcPr>
            <w:tcW w:w="5224" w:type="dxa"/>
            <w:tcBorders/>
          </w:tcPr>
          <w:p>
            <w:pPr>
              <w:pStyle w:val="Normal"/>
              <w:widowControl w:val="false"/>
              <w:bidi w:val="0"/>
              <w:spacing w:before="100" w:after="100"/>
              <w:rPr/>
            </w:pPr>
            <w:r>
              <w:rPr/>
              <w:t> </w:t>
            </w:r>
          </w:p>
        </w:tc>
        <w:tc>
          <w:tcPr>
            <w:tcW w:w="3940" w:type="dxa"/>
            <w:tcBorders/>
          </w:tcPr>
          <w:p>
            <w:pPr>
              <w:pStyle w:val="Normal"/>
              <w:spacing w:before="100" w:after="100"/>
              <w:rPr>
                <w:sz w:val="18"/>
              </w:rPr>
            </w:pPr>
            <w:r>
              <w:rPr>
                <w:sz w:val="18"/>
              </w:rPr>
              <w:t>________________________________________</w:t>
            </w:r>
          </w:p>
          <w:p>
            <w:pPr>
              <w:pStyle w:val="Normal"/>
              <w:spacing w:before="100" w:after="100"/>
              <w:rPr>
                <w:sz w:val="18"/>
              </w:rPr>
            </w:pPr>
            <w:r>
              <w:rPr>
                <w:sz w:val="18"/>
              </w:rPr>
              <w:t>Issued Share Capital</w:t>
            </w:r>
          </w:p>
        </w:tc>
      </w:tr>
      <w:tr>
        <w:trPr/>
        <w:tc>
          <w:tcPr>
            <w:tcW w:w="5224" w:type="dxa"/>
            <w:tcBorders/>
          </w:tcPr>
          <w:p>
            <w:pPr>
              <w:pStyle w:val="Normal"/>
              <w:widowControl w:val="false"/>
              <w:bidi w:val="0"/>
              <w:spacing w:before="100" w:after="100"/>
              <w:rPr/>
            </w:pPr>
            <w:r>
              <w:rPr/>
              <w:t> </w:t>
            </w:r>
          </w:p>
        </w:tc>
        <w:tc>
          <w:tcPr>
            <w:tcW w:w="3940" w:type="dxa"/>
            <w:tcBorders/>
          </w:tcPr>
          <w:p>
            <w:pPr>
              <w:pStyle w:val="Normal"/>
              <w:spacing w:before="100" w:after="100"/>
              <w:rPr>
                <w:sz w:val="18"/>
              </w:rPr>
            </w:pPr>
            <w:r>
              <w:rPr>
                <w:sz w:val="18"/>
              </w:rPr>
              <w:t>________________________________________</w:t>
            </w:r>
          </w:p>
          <w:p>
            <w:pPr>
              <w:pStyle w:val="Normal"/>
              <w:spacing w:before="100" w:after="100"/>
              <w:rPr>
                <w:sz w:val="18"/>
              </w:rPr>
            </w:pPr>
            <w:r>
              <w:rPr>
                <w:sz w:val="18"/>
              </w:rPr>
              <w:t>Paid up Share Capital</w:t>
            </w:r>
          </w:p>
        </w:tc>
      </w:tr>
    </w:tbl>
    <w:p>
      <w:pPr>
        <w:pStyle w:val="Normal"/>
        <w:jc w:val="both"/>
        <w:rPr>
          <w:sz w:val="18"/>
        </w:rPr>
      </w:pPr>
      <w:r>
        <w:rPr>
          <w:sz w:val="18"/>
        </w:rPr>
        <w:t> </w:t>
      </w:r>
    </w:p>
    <w:p>
      <w:pPr>
        <w:pStyle w:val="Normal"/>
        <w:ind w:start="2880" w:end="0"/>
        <w:jc w:val="both"/>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1999-09-03T13:45:00Z</dcterms:created>
  <dc:creator>NEdmonds</dc:creator>
  <dc:description/>
  <dc:language>en-CA</dc:language>
  <cp:lastModifiedBy>NEdmonds</cp:lastModifiedBy>
  <dcterms:modified xsi:type="dcterms:W3CDTF">1999-09-03T13:45:00Z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