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Poland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 Counterparty shall not enter into any Transaction which would violate mandatory provisions of law applicable to it and result in unenforceability of Counterparty's obligations under that Transaction.</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firstLine="144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hanging="720" w:start="216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hanging="720" w:start="216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hanging="720" w:start="2160" w:end="0"/>
        <w:jc w:val="both"/>
        <w:rPr/>
      </w:pPr>
      <w:r>
        <w:rPr>
          <w:b/>
        </w:rPr>
        <w:t>6.</w:t>
        <w:tab/>
      </w:r>
      <w:r>
        <w:rPr>
          <w:b/>
          <w:u w:val="single"/>
        </w:rPr>
        <w:t>GENERAL</w:t>
      </w:r>
      <w:r>
        <w:rPr>
          <w:b/>
        </w:rPr>
        <w:t>.</w:t>
      </w:r>
    </w:p>
    <w:p>
      <w:pPr>
        <w:pStyle w:val="Normal"/>
        <w:ind w:firstLine="135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1999-08-31T08:50:00Z</dcterms:created>
  <dc:creator>NEdmonds</dc:creator>
  <dc:description/>
  <dc:language>en-CA</dc:language>
  <cp:lastModifiedBy>NEdmonds</cp:lastModifiedBy>
  <dcterms:modified xsi:type="dcterms:W3CDTF">1999-08-31T08:50:00Z</dcterms:modified>
  <cp:revision>2</cp:revision>
  <dc:subject/>
  <dc:title>Poland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