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8, 2001</w:t>
      </w:r>
    </w:p>
    <w:p>
      <w:pPr>
        <w:pStyle w:val="Normal"/>
        <w:rPr>
          <w:sz w:val="20"/>
        </w:rPr>
      </w:pPr>
      <w:r>
        <w:rPr>
          <w:sz w:val="20"/>
        </w:rPr>
      </w:r>
    </w:p>
    <w:p>
      <w:pPr>
        <w:pStyle w:val="Normal"/>
        <w:rPr>
          <w:sz w:val="20"/>
        </w:rPr>
      </w:pPr>
      <w:r>
        <w:rPr>
          <w:sz w:val="20"/>
        </w:rPr>
        <w:t>Platte River Power Authority</w:t>
      </w:r>
    </w:p>
    <w:p>
      <w:pPr>
        <w:pStyle w:val="Normal"/>
        <w:rPr>
          <w:sz w:val="20"/>
        </w:rPr>
      </w:pPr>
      <w:r>
        <w:rPr>
          <w:sz w:val="20"/>
        </w:rPr>
        <w:t>2000 East Horsetooth Road</w:t>
      </w:r>
    </w:p>
    <w:p>
      <w:pPr>
        <w:pStyle w:val="Normal"/>
        <w:rPr>
          <w:sz w:val="20"/>
        </w:rPr>
      </w:pPr>
      <w:r>
        <w:rPr>
          <w:sz w:val="20"/>
        </w:rPr>
        <w:t xml:space="preserve">Fort Collins, Colorado 80525-5721       </w:t>
      </w:r>
    </w:p>
    <w:p>
      <w:pPr>
        <w:pStyle w:val="Normal"/>
        <w:rPr>
          <w:sz w:val="20"/>
        </w:rPr>
      </w:pPr>
      <w:r>
        <w:rPr>
          <w:sz w:val="20"/>
        </w:rPr>
      </w:r>
    </w:p>
    <w:p>
      <w:pPr>
        <w:pStyle w:val="Normal"/>
        <w:rPr>
          <w:sz w:val="20"/>
        </w:rPr>
      </w:pPr>
      <w:r>
        <w:rPr>
          <w:sz w:val="20"/>
        </w:rPr>
        <w:t>Attn:  Bob Abiecunas</w:t>
      </w:r>
    </w:p>
    <w:p>
      <w:pPr>
        <w:pStyle w:val="Normal"/>
        <w:rPr>
          <w:sz w:val="20"/>
        </w:rPr>
      </w:pPr>
      <w:r>
        <w:rPr>
          <w:sz w:val="20"/>
        </w:rPr>
        <w:t xml:space="preserve">Chief Financial Officer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______and binding between Platte River Power Authority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MINIMUM DAILY CONTRACT QUANTITY: (“MinDCQ):</w:t>
            </w:r>
          </w:p>
          <w:p>
            <w:pPr>
              <w:pStyle w:val="Normal"/>
              <w:keepLines/>
              <w:rPr>
                <w:b/>
                <w:sz w:val="20"/>
              </w:rPr>
            </w:pPr>
            <w:r>
              <w:rPr>
                <w:b/>
                <w:sz w:val="20"/>
              </w:rPr>
              <w:t>MAXIMUM DAILY CONTRACT QUANTITY: (“MaxDCQ):</w:t>
            </w:r>
          </w:p>
        </w:tc>
        <w:tc>
          <w:tcPr>
            <w:tcW w:w="6048" w:type="dxa"/>
            <w:tcBorders>
              <w:top w:val="single" w:sz="4" w:space="0" w:color="000000"/>
              <w:end w:val="single" w:sz="4" w:space="0" w:color="000000"/>
            </w:tcBorders>
          </w:tcPr>
          <w:p>
            <w:pPr>
              <w:pStyle w:val="Normal"/>
              <w:keepLines/>
              <w:snapToGrid w:val="false"/>
              <w:rPr>
                <w:b/>
                <w:sz w:val="20"/>
              </w:rPr>
            </w:pPr>
            <w:r>
              <w:rPr>
                <w:b/>
                <w:sz w:val="20"/>
              </w:rPr>
            </w:r>
          </w:p>
          <w:p>
            <w:pPr>
              <w:pStyle w:val="Normal"/>
              <w:keepLines/>
              <w:rPr>
                <w:sz w:val="20"/>
              </w:rPr>
            </w:pPr>
            <w:r>
              <w:rPr>
                <w:sz w:val="20"/>
              </w:rPr>
              <w:t xml:space="preserve"> </w:t>
            </w:r>
            <w:r>
              <w:rPr>
                <w:sz w:val="20"/>
              </w:rPr>
              <w:t>0 MMBtu per day</w:t>
            </w:r>
          </w:p>
          <w:p>
            <w:pPr>
              <w:pStyle w:val="Normal"/>
              <w:keepLines/>
              <w:rPr>
                <w:sz w:val="20"/>
              </w:rPr>
            </w:pPr>
            <w:r>
              <w:rPr>
                <w:sz w:val="20"/>
              </w:rPr>
            </w:r>
          </w:p>
          <w:p>
            <w:pPr>
              <w:pStyle w:val="Normal"/>
              <w:keepLines/>
              <w:rPr>
                <w:sz w:val="20"/>
              </w:rPr>
            </w:pPr>
            <w:r>
              <w:rPr>
                <w:sz w:val="20"/>
              </w:rPr>
              <w:t>30,000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Colorado Interstate Gas Company - Mainline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October  31, 2003</w:t>
            </w:r>
          </w:p>
        </w:tc>
      </w:tr>
      <w:tr>
        <w:trPr/>
        <w:tc>
          <w:tcPr>
            <w:tcW w:w="3528" w:type="dxa"/>
            <w:tcBorders>
              <w:start w:val="single" w:sz="4" w:space="0" w:color="000000"/>
              <w:bottom w:val="single" w:sz="4" w:space="0" w:color="000000"/>
            </w:tcBorders>
          </w:tcPr>
          <w:p>
            <w:pPr>
              <w:pStyle w:val="Normal"/>
              <w:keepLines/>
              <w:rPr>
                <w:b/>
                <w:sz w:val="20"/>
              </w:rPr>
            </w:pPr>
            <w:r>
              <w:rPr>
                <w:b/>
                <w:sz w:val="20"/>
              </w:rPr>
              <w:t>CONTRACT PRICE:</w:t>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t>OTHER:</w:t>
            </w:r>
          </w:p>
          <w:p>
            <w:pPr>
              <w:pStyle w:val="Normal"/>
              <w:keepLines/>
              <w:rPr>
                <w:b/>
                <w:sz w:val="20"/>
              </w:rPr>
            </w:pPr>
            <w:r>
              <w:rPr>
                <w:b/>
                <w:sz w:val="20"/>
              </w:rPr>
            </w:r>
          </w:p>
          <w:p>
            <w:pPr>
              <w:pStyle w:val="Normal"/>
              <w:keepLines/>
              <w:rPr>
                <w:b/>
                <w:sz w:val="20"/>
              </w:rPr>
            </w:pPr>
            <w:r>
              <w:rPr>
                <w:b/>
                <w:sz w:val="20"/>
              </w:rPr>
            </w:r>
          </w:p>
        </w:tc>
        <w:tc>
          <w:tcPr>
            <w:tcW w:w="6048" w:type="dxa"/>
            <w:tcBorders>
              <w:bottom w:val="single" w:sz="4" w:space="0" w:color="000000"/>
              <w:end w:val="single" w:sz="4" w:space="0" w:color="000000"/>
            </w:tcBorders>
          </w:tcPr>
          <w:p>
            <w:pPr>
              <w:pStyle w:val="Normal"/>
              <w:keepLines/>
              <w:rPr>
                <w:sz w:val="20"/>
              </w:rPr>
            </w:pPr>
            <w:r>
              <w:rPr>
                <w:sz w:val="20"/>
              </w:rPr>
              <w:t xml:space="preserve">The Contract Price for the applicable Period of Delivery (the “Relevant Period”) shall be 100% of the published index specified below plus USD $0.05000 per MMBtu:  </w:t>
            </w:r>
          </w:p>
          <w:p>
            <w:pPr>
              <w:pStyle w:val="Normal"/>
              <w:keepLines/>
              <w:rPr>
                <w:sz w:val="20"/>
              </w:rPr>
            </w:pPr>
            <w:r>
              <w:rPr>
                <w:sz w:val="20"/>
              </w:rPr>
            </w:r>
          </w:p>
          <w:p>
            <w:pPr>
              <w:pStyle w:val="Normal"/>
              <w:keepLines/>
              <w:rPr>
                <w:sz w:val="20"/>
              </w:rPr>
            </w:pPr>
            <w:r>
              <w:rPr>
                <w:sz w:val="20"/>
              </w:rPr>
              <w:t>Publication:</w:t>
              <w:tab/>
              <w:t>Gas Daily</w:t>
            </w:r>
          </w:p>
          <w:p>
            <w:pPr>
              <w:pStyle w:val="Normal"/>
              <w:keepLines/>
              <w:rPr>
                <w:sz w:val="20"/>
              </w:rPr>
            </w:pPr>
            <w:r>
              <w:rPr>
                <w:sz w:val="20"/>
              </w:rPr>
              <w:t>Section:</w:t>
              <w:tab/>
              <w:t xml:space="preserve">Daily Price Survey </w:t>
            </w:r>
          </w:p>
          <w:p>
            <w:pPr>
              <w:pStyle w:val="Normal"/>
              <w:keepLines/>
              <w:rPr>
                <w:sz w:val="20"/>
              </w:rPr>
            </w:pPr>
            <w:r>
              <w:rPr>
                <w:sz w:val="20"/>
              </w:rPr>
              <w:t>Location:</w:t>
              <w:tab/>
              <w:t>Cheyenne Hub</w:t>
            </w:r>
          </w:p>
          <w:p>
            <w:pPr>
              <w:pStyle w:val="Normal"/>
              <w:keepLines/>
              <w:rPr>
                <w:sz w:val="20"/>
              </w:rPr>
            </w:pPr>
            <w:r>
              <w:rPr>
                <w:sz w:val="20"/>
              </w:rPr>
              <w:t>Price:</w:t>
              <w:tab/>
              <w:t>Daily Midpoint price (if calendar day is not a business day, use Daily Midpoint price on next business day)</w:t>
            </w:r>
          </w:p>
          <w:p>
            <w:pPr>
              <w:pStyle w:val="Normal"/>
              <w:keepLines/>
              <w:rPr>
                <w:sz w:val="20"/>
              </w:rPr>
            </w:pPr>
            <w:r>
              <w:rPr>
                <w:sz w:val="20"/>
              </w:rPr>
              <w:t>Issue:</w:t>
              <w:tab/>
              <w:t>Issues published for the Relevant Period</w:t>
            </w:r>
          </w:p>
          <w:p>
            <w:pPr>
              <w:pStyle w:val="Normal"/>
              <w:keepLines/>
              <w:rPr>
                <w:sz w:val="20"/>
              </w:rPr>
            </w:pPr>
            <w:r>
              <w:rPr>
                <w:sz w:val="20"/>
              </w:rPr>
            </w:r>
          </w:p>
          <w:p>
            <w:pPr>
              <w:pStyle w:val="Normal"/>
              <w:numPr>
                <w:ilvl w:val="0"/>
                <w:numId w:val="2"/>
              </w:numPr>
              <w:jc w:val="both"/>
              <w:rPr>
                <w:sz w:val="20"/>
              </w:rPr>
            </w:pPr>
            <w:r>
              <w:rPr>
                <w:sz w:val="20"/>
              </w:rPr>
              <w:t>“</w:t>
            </w:r>
            <w:r>
              <w:rPr>
                <w:b/>
                <w:sz w:val="20"/>
              </w:rPr>
              <w:t>MinDCQ</w:t>
            </w:r>
            <w:r>
              <w:rPr>
                <w:sz w:val="20"/>
              </w:rPr>
              <w:t xml:space="preserve">” means the minimum quantity of gas that Buyer is required to schedule per gas day. </w:t>
            </w:r>
          </w:p>
          <w:p>
            <w:pPr>
              <w:pStyle w:val="Normal"/>
              <w:numPr>
                <w:ilvl w:val="0"/>
                <w:numId w:val="2"/>
              </w:numPr>
              <w:jc w:val="both"/>
              <w:rPr>
                <w:sz w:val="20"/>
              </w:rPr>
            </w:pPr>
            <w:r>
              <w:rPr>
                <w:sz w:val="20"/>
              </w:rPr>
              <w:t>“</w:t>
            </w:r>
            <w:r>
              <w:rPr>
                <w:b/>
                <w:sz w:val="20"/>
              </w:rPr>
              <w:t>MaxDCQ</w:t>
            </w:r>
            <w:r>
              <w:rPr>
                <w:sz w:val="20"/>
              </w:rPr>
              <w:t>” means the maximum quantity of gas that Buyer is allowed to schedule per gas day.</w:t>
            </w:r>
          </w:p>
          <w:p>
            <w:pPr>
              <w:pStyle w:val="Normal"/>
              <w:numPr>
                <w:ilvl w:val="0"/>
                <w:numId w:val="2"/>
              </w:numPr>
              <w:jc w:val="both"/>
              <w:rPr>
                <w:sz w:val="20"/>
              </w:rPr>
            </w:pPr>
            <w:r>
              <w:rPr>
                <w:sz w:val="20"/>
              </w:rPr>
              <w:t>Buyer shall have the right to buy gas from Seller up to the MaxDCQ on any day during the Period of Delivery.</w:t>
            </w:r>
          </w:p>
          <w:p>
            <w:pPr>
              <w:pStyle w:val="Normal"/>
              <w:numPr>
                <w:ilvl w:val="0"/>
                <w:numId w:val="2"/>
              </w:numPr>
              <w:jc w:val="both"/>
              <w:rPr>
                <w:sz w:val="20"/>
              </w:rPr>
            </w:pPr>
            <w:r>
              <w:rPr>
                <w:sz w:val="20"/>
              </w:rPr>
              <w:t xml:space="preserve">In the event Buyer exercises its option as outlined in item 3 above, Buyer shall pay Seller an amount per MMBtu equal to the Contract Price. </w:t>
            </w:r>
          </w:p>
          <w:p>
            <w:pPr>
              <w:pStyle w:val="Normal"/>
              <w:numPr>
                <w:ilvl w:val="0"/>
                <w:numId w:val="2"/>
              </w:numPr>
              <w:jc w:val="both"/>
              <w:rPr>
                <w:sz w:val="20"/>
              </w:rPr>
            </w:pPr>
            <w:r>
              <w:rPr>
                <w:sz w:val="20"/>
              </w:rPr>
              <w:t>For the right to buy gas from Seller as shown above, Buyer shall pay to Seller US Dollars $13,680.00 on the first Business Day of each Delivery Month.</w:t>
            </w:r>
          </w:p>
          <w:p>
            <w:pPr>
              <w:pStyle w:val="Normal"/>
              <w:numPr>
                <w:ilvl w:val="0"/>
                <w:numId w:val="2"/>
              </w:numPr>
              <w:jc w:val="both"/>
              <w:rPr>
                <w:sz w:val="20"/>
              </w:rPr>
            </w:pPr>
            <w:r>
              <w:rPr>
                <w:sz w:val="20"/>
              </w:rPr>
              <w:t>Neither Buyer nor Seller shall be obligated to give a daily quantity nomination since the transaction is a “call option” in favor of Buyer.  Buyer may exercise such option by providing Seller facsimile notice of Buyer’s election to buy up to the MaxDCQ under the terms set forth herein by 8:00 am C.S.T. the day of the pipeline nomination deadline for the day on which Buyer desires the gas to flow.</w:t>
            </w:r>
          </w:p>
          <w:p>
            <w:pPr>
              <w:pStyle w:val="Normal"/>
              <w:numPr>
                <w:ilvl w:val="0"/>
                <w:numId w:val="2"/>
              </w:numPr>
              <w:jc w:val="both"/>
              <w:rPr>
                <w:sz w:val="20"/>
              </w:rPr>
            </w:pPr>
            <w:r>
              <w:rPr>
                <w:sz w:val="20"/>
              </w:rPr>
              <w:t>ENA shall provide scheduling and balancing services to buyer on the Public Service Company of Colorado (PSCo) pipeline system.  In the event that PSCo is not able to deliver gas to buyer, ENA will use reasonable efforts to supply gas at a market price to buyer’s facilities via an alternative interconnect with buyer’s facilities.</w:t>
            </w:r>
          </w:p>
          <w:p>
            <w:pPr>
              <w:pStyle w:val="Normal"/>
              <w:keepLines/>
              <w:ind w:hanging="1152" w:end="0"/>
              <w:rPr>
                <w:sz w:val="20"/>
              </w:rPr>
            </w:pPr>
            <w:r>
              <w:rPr>
                <w:sz w:val="20"/>
              </w:rPr>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8,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2001-10-08T17:47:00Z</dcterms:created>
  <dc:creator>ECT</dc:creator>
  <dc:description/>
  <dc:language>en-CA</dc:language>
  <cp:lastModifiedBy>mwhitt</cp:lastModifiedBy>
  <cp:lastPrinted>2001-10-08T14:05:00Z</cp:lastPrinted>
  <dcterms:modified xsi:type="dcterms:W3CDTF">2001-10-08T17:47:00Z</dcterms:modified>
  <cp:revision>2</cp:revision>
  <dc:subject/>
  <dc:title>889014</dc:title>
</cp:coreProperties>
</file>