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sz w:val="24"/>
        </w:rPr>
      </w:pPr>
      <w:r>
        <w:rPr>
          <w:sz w:val="24"/>
        </w:rPr>
        <w:t>Enron Exchange</w:t>
      </w:r>
    </w:p>
    <w:p>
      <w:pPr>
        <w:pStyle w:val="Normal"/>
        <w:spacing w:lineRule="auto" w:line="480"/>
        <w:rPr>
          <w:sz w:val="24"/>
        </w:rPr>
      </w:pPr>
      <w:r>
        <w:rPr>
          <w:sz w:val="24"/>
        </w:rPr>
        <w:t>Plastics and Petrochemicals Article</w:t>
      </w:r>
    </w:p>
    <w:p>
      <w:pPr>
        <w:pStyle w:val="Normal"/>
        <w:spacing w:lineRule="auto" w:line="480"/>
        <w:rPr>
          <w:sz w:val="24"/>
        </w:rPr>
      </w:pPr>
      <w:r>
        <w:rPr>
          <w:sz w:val="24"/>
        </w:rPr>
        <w:t>Version 6, March 22, 2000</w:t>
      </w:r>
    </w:p>
    <w:p>
      <w:pPr>
        <w:pStyle w:val="Normal"/>
        <w:spacing w:lineRule="auto" w:line="480"/>
        <w:rPr>
          <w:sz w:val="24"/>
        </w:rPr>
      </w:pPr>
      <w:r>
        <w:rPr>
          <w:sz w:val="24"/>
        </w:rPr>
      </w:r>
    </w:p>
    <w:p>
      <w:pPr>
        <w:pStyle w:val="BodyText"/>
        <w:ind w:end="0"/>
        <w:rPr/>
      </w:pPr>
      <w:r>
        <w:rPr>
          <w:rPrChange w:id="0" w:author="Unknown Author" w:date="0-00-00T00:00:00Z"/>
        </w:rPr>
        <w:t>Plastics &amp; Petrochemicals: Taming a Volatile Market</w:t>
      </w:r>
    </w:p>
    <w:p>
      <w:pPr>
        <w:pStyle w:val="Normal"/>
        <w:spacing w:lineRule="auto" w:line="480"/>
        <w:rPr>
          <w:sz w:val="24"/>
        </w:rPr>
      </w:pPr>
      <w:r>
        <w:rPr>
          <w:sz w:val="24"/>
        </w:rPr>
      </w:r>
    </w:p>
    <w:p>
      <w:pPr>
        <w:pStyle w:val="Normal"/>
        <w:spacing w:lineRule="auto" w:line="480"/>
        <w:rPr>
          <w:sz w:val="24"/>
        </w:rPr>
      </w:pPr>
      <w:r>
        <w:rPr>
          <w:sz w:val="24"/>
        </w:rPr>
        <w:t>By Randy Myers</w:t>
      </w:r>
    </w:p>
    <w:p>
      <w:pPr>
        <w:pStyle w:val="Normal"/>
        <w:spacing w:lineRule="auto" w:line="480"/>
        <w:rPr>
          <w:sz w:val="24"/>
        </w:rPr>
      </w:pPr>
      <w:r>
        <w:rPr>
          <w:sz w:val="24"/>
        </w:rPr>
      </w:r>
    </w:p>
    <w:p>
      <w:pPr>
        <w:pStyle w:val="BodyText2"/>
        <w:ind w:end="0"/>
        <w:rPr/>
      </w:pPr>
      <w:r>
        <w:rPr/>
        <w:t>Note to designer: please place the following author bio at the bottom of the first regular column of type. Thanks!</w:t>
      </w:r>
    </w:p>
    <w:p>
      <w:pPr>
        <w:pStyle w:val="Normal"/>
        <w:spacing w:lineRule="auto" w:line="480"/>
        <w:rPr>
          <w:sz w:val="24"/>
        </w:rPr>
      </w:pPr>
      <w:r>
        <w:rPr>
          <w:i/>
          <w:sz w:val="24"/>
        </w:rPr>
        <w:t xml:space="preserve">Randy Myers writes about business and finance for </w:t>
      </w:r>
      <w:r>
        <w:rPr>
          <w:sz w:val="24"/>
        </w:rPr>
        <w:t>Chief Executive</w:t>
      </w:r>
      <w:r>
        <w:rPr>
          <w:i/>
          <w:sz w:val="24"/>
        </w:rPr>
        <w:t xml:space="preserve">, </w:t>
      </w:r>
      <w:r>
        <w:rPr>
          <w:sz w:val="24"/>
        </w:rPr>
        <w:t xml:space="preserve">MSN MoneyCentral, CFO </w:t>
      </w:r>
      <w:r>
        <w:rPr>
          <w:i/>
          <w:sz w:val="24"/>
        </w:rPr>
        <w:t>and other publications. He lives and works in Dover, Pennsylvania.</w:t>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tab/>
        <w:t>Gasoline and heating fuel weren't the only commodities that soared in price over the past year as OPEC slowed production of crude oil in the face of heavy worldwide demand. Prices also spiked for plastics and petrochemicals—derivatives of crude oil and natural gas—leaving many participants in the $1.7 trillion global plastics and petrochemicals industry saddled with unexpectedly high costs. It was a stark reminder that in their businesses, even the most painstakingly created budgets can be thrown awry by forces outside their control.</w:t>
      </w:r>
    </w:p>
    <w:p>
      <w:pPr>
        <w:pStyle w:val="Normal"/>
        <w:spacing w:lineRule="auto" w:line="480"/>
        <w:rPr>
          <w:sz w:val="24"/>
        </w:rPr>
      </w:pPr>
      <w:r>
        <w:rPr>
          <w:sz w:val="24"/>
        </w:rPr>
        <w:tab/>
        <w:t>For other industry participants, though, the market's volatility was merely a minor distraction from business as usual. Their secret? These companies hedged their exposure to volatile price swings by using innovative financial risk management tools from Enron.</w:t>
      </w:r>
    </w:p>
    <w:p>
      <w:pPr>
        <w:pStyle w:val="Normal"/>
        <w:spacing w:lineRule="auto" w:line="480"/>
        <w:rPr>
          <w:sz w:val="24"/>
        </w:rPr>
      </w:pPr>
      <w:r>
        <w:rPr>
          <w:sz w:val="24"/>
        </w:rPr>
        <w:tab/>
        <w:t>One of the world's largest traders of plastics and petrochemicals, Enron has begun to reshape the industry in recent years by broadly introducing financial risk management practices the company pioneered over a decade ago for the energy industry. Using instruments such as swaps, caps, floors and collars, Enron is helping producers and consumers alike neutralize the price volatility that has bedeviled their businesses for decades.</w:t>
      </w:r>
    </w:p>
    <w:p>
      <w:pPr>
        <w:pStyle w:val="Normal"/>
        <w:spacing w:lineRule="auto" w:line="480"/>
        <w:ind w:firstLine="720" w:end="0"/>
        <w:rPr/>
      </w:pPr>
      <w:r>
        <w:rPr>
          <w:sz w:val="24"/>
        </w:rPr>
        <w:t xml:space="preserve">"The use of financial risk management tools by plastics and petrochemical companies is still relatively novel, but it is becoming increasingly popular," confirms Douglas Friedman, a director in Enron's Plastics </w:t>
      </w:r>
      <w:r>
        <w:rPr>
          <w:color w:val="000000"/>
          <w:sz w:val="24"/>
        </w:rPr>
        <w:t>and Petrochemicals</w:t>
      </w:r>
      <w:r>
        <w:rPr>
          <w:sz w:val="24"/>
        </w:rPr>
        <w:t xml:space="preserve"> Group. "The volume of business we conducted in 1999 was up 500% from where it was in 1998. This is a pretty fair indicator of where the industry is headed."</w:t>
      </w:r>
    </w:p>
    <w:p>
      <w:pPr>
        <w:pStyle w:val="Normal"/>
        <w:spacing w:lineRule="auto" w:line="480"/>
        <w:ind w:firstLine="720" w:end="0"/>
        <w:rPr>
          <w:sz w:val="24"/>
        </w:rPr>
      </w:pPr>
      <w:r>
        <w:rPr>
          <w:sz w:val="24"/>
        </w:rPr>
        <w:t>Enron is drawing business from a wide cross-section of the marketplace, from large upstream producers to small downstream producers. Recently, it used a swap agreement to help an ethylene producer lock in a price for a portion of the ethylene it will produce over the next four years. Under the terms of the agreement, Enron and the producer have agreed to exchange, or "swap," the risk of price movements above and below the fixed price specified in their contract. The agreement is purely financial; the producer continues to sell its output to its regular customers at market prices over the life of the contract. But when the market price falls below the fixed price, Enron pays the producer the difference. When the market price rises above the fixed price, the producer pays Enron the difference. Payments are exchanged on a monthly basis for the life of the agreement.</w:t>
      </w:r>
    </w:p>
    <w:p>
      <w:pPr>
        <w:pStyle w:val="BodyTextIndent"/>
        <w:rPr/>
      </w:pPr>
      <w:r>
        <w:rPr/>
        <w:t>"This swap allowed our client to eliminate price volatility on a specific portion of their ethylene output, and at no up-front cost," says Friedman.  "In essence, they've locked in a portion of their top line."</w:t>
      </w:r>
    </w:p>
    <w:p>
      <w:pPr>
        <w:pStyle w:val="Normal"/>
        <w:spacing w:lineRule="auto" w:line="480"/>
        <w:ind w:firstLine="720" w:end="0"/>
        <w:rPr/>
      </w:pPr>
      <w:r>
        <w:rPr>
          <w:sz w:val="24"/>
        </w:rPr>
        <w:t>In other cases, Enron customers have taken this notion a step further to fix not only the price they receive for their output but also the cost of their raw materials. This way, they can lock in their margins as well as their revenues. A large multinational producer recently did this by entering into a spread option agreement with Enron to ensure a minimum margin between the cost of its</w:t>
      </w:r>
      <w:r>
        <w:rPr>
          <w:color w:val="0000FF"/>
          <w:sz w:val="24"/>
        </w:rPr>
        <w:t xml:space="preserve"> </w:t>
      </w:r>
      <w:r>
        <w:rPr>
          <w:sz w:val="24"/>
        </w:rPr>
        <w:t>olefin feedstock and the price of the polyolefin it sells over a two-year period.</w:t>
      </w:r>
    </w:p>
    <w:p>
      <w:pPr>
        <w:pStyle w:val="Normal"/>
        <w:spacing w:lineRule="auto" w:line="480"/>
        <w:ind w:firstLine="720" w:end="0"/>
        <w:rPr>
          <w:sz w:val="24"/>
        </w:rPr>
      </w:pPr>
      <w:r>
        <w:rPr>
          <w:sz w:val="24"/>
        </w:rPr>
        <w:t>Financial risk management tools are useful for companies anywhere along the value chain, including both producers and consumers. One consumer that's been taking advantage of the tools attractive characteristics is ConAgra, a diversified food company and a large user of plastics for packaging.</w:t>
      </w:r>
    </w:p>
    <w:p>
      <w:pPr>
        <w:pStyle w:val="Normal"/>
        <w:spacing w:lineRule="auto" w:line="480"/>
        <w:ind w:firstLine="720" w:end="0"/>
        <w:rPr>
          <w:sz w:val="24"/>
          <w:lang w:eastAsia="en-US"/>
        </w:rPr>
      </w:pPr>
      <w:r>
        <w:rPr>
          <w:sz w:val="24"/>
          <w:lang w:eastAsia="en-US"/>
        </w:rPr>
        <w:t>"Utilization of financial tools helps us create budgets with teeth," says Mike Bridges, ConAgra's director of Packaging Risk Management. "The end result is a reduction in budget volatility and margin risk.”</w:t>
      </w:r>
    </w:p>
    <w:p>
      <w:pPr>
        <w:pStyle w:val="Normal"/>
        <w:spacing w:lineRule="auto" w:line="480"/>
        <w:rPr>
          <w:sz w:val="24"/>
          <w:lang w:eastAsia="en-US"/>
        </w:rPr>
      </w:pPr>
      <w:r>
        <w:rPr>
          <w:sz w:val="24"/>
          <w:lang w:eastAsia="en-US"/>
        </w:rPr>
        <w:tab/>
        <w:t>Often, companies can use these tools to help them win more business. A firm that produces plastic packaging for the food industry recently entered into a swap agreement with Enron to fix the price it pays for resin for the next two years, and found it to be a valuable competitive tool.</w:t>
      </w:r>
    </w:p>
    <w:p>
      <w:pPr>
        <w:pStyle w:val="Normal"/>
        <w:spacing w:lineRule="auto" w:line="480"/>
        <w:rPr/>
      </w:pPr>
      <w:r>
        <w:rPr>
          <w:sz w:val="24"/>
          <w:lang w:eastAsia="en-US"/>
        </w:rPr>
        <w:tab/>
        <w:t xml:space="preserve">"Once it had locked in its resin price, this producer was able to secure long-term sales contracts with its customers," explains Friedman. "The company </w:t>
      </w:r>
      <w:r>
        <w:rPr>
          <w:sz w:val="24"/>
        </w:rPr>
        <w:t>not only satisfied the long-term needs of its customers, it also gained additional business for itself and preserved its margins while doing so. The company can even make long-term staffing and equipment decisions with greater certainty now, because it knows it's on firm financial footing."</w:t>
      </w:r>
    </w:p>
    <w:p>
      <w:pPr>
        <w:pStyle w:val="BodyTextIndent"/>
        <w:rPr/>
      </w:pPr>
      <w:r>
        <w:rPr/>
        <w:t>Because Enron is a large trader of dozens of plastics and petrochemicals products around the world, it is able to hedge its own risk in these transactions through offsetting contracts with other producers and consumers, and, in some cases, with financial institutions that have significant exposure to the plastics and petrochemicals industry.</w:t>
      </w:r>
    </w:p>
    <w:p>
      <w:pPr>
        <w:pStyle w:val="BodyTextIndent"/>
        <w:rPr/>
      </w:pPr>
      <w:r>
        <w:rPr/>
        <w:t>Recently, Enron has begun to make it easier for plastics and petrochemicals companies to tap into its trading expertise through EnronOnline.com, a website where customers can trade everything from crude oil to plastics, including other energy products such as natural gas and electricity.</w:t>
      </w:r>
    </w:p>
    <w:p>
      <w:pPr>
        <w:pStyle w:val="Normal"/>
        <w:spacing w:lineRule="auto" w:line="480"/>
        <w:ind w:firstLine="720" w:end="0"/>
        <w:rPr>
          <w:sz w:val="24"/>
        </w:rPr>
      </w:pPr>
      <w:r>
        <w:rPr>
          <w:sz w:val="24"/>
        </w:rPr>
        <w:t>"Our site has firm, real-time bid and ask quotations," observes Alan Engberg, a director in the plastic group. "A user can go in whenever they want and click on either side of a trade without negotiation. It gives them access to a broader market place and the ability to transact instantaneously."</w:t>
      </w:r>
    </w:p>
    <w:p>
      <w:pPr>
        <w:pStyle w:val="Normal"/>
        <w:spacing w:lineRule="auto" w:line="480"/>
        <w:ind w:firstLine="720" w:end="0"/>
        <w:rPr>
          <w:sz w:val="24"/>
        </w:rPr>
      </w:pPr>
      <w:r>
        <w:rPr>
          <w:sz w:val="24"/>
        </w:rPr>
        <w:t>In addition to trading and financial risk management contracts, of course, Enron is also the largest wholesaler of natural gas and electricity in North America. Accordingly, Enron can help energy-intensive plastics and petrochemical companies coordinate the price risks in multiple markets—their own, and the energy market. For example, Enron can structure cross-commodity transactions that link a company's electricity or natural gas bills to the price of, say, the polyolefin it produces. In other words, when polyolefin prices are high and the company can afford it, the company pays more for energy, and when polyolefin prices are low (and cash flows constrained), the company pays less.</w:t>
      </w:r>
    </w:p>
    <w:p>
      <w:pPr>
        <w:pStyle w:val="Normal"/>
        <w:spacing w:lineRule="auto" w:line="480"/>
        <w:ind w:firstLine="720" w:end="0"/>
        <w:rPr>
          <w:sz w:val="24"/>
        </w:rPr>
      </w:pPr>
      <w:r>
        <w:rPr>
          <w:sz w:val="24"/>
        </w:rPr>
        <w:t>Enron can also help plastics and petrochemicals companies monetize and outsource their energy operations so that they can focus on the core parts of their business. For example, Enron sometimes buys or leases its customers' energy production assets, operates them, and then provides energy back to the customers. This allows the customers to monetize their energy assets, and, in many cases, acquire the energy they need at a lower overall cost.</w:t>
      </w:r>
    </w:p>
    <w:p>
      <w:pPr>
        <w:pStyle w:val="Normal"/>
        <w:spacing w:lineRule="auto" w:line="480"/>
        <w:ind w:firstLine="720" w:end="0"/>
        <w:rPr>
          <w:sz w:val="24"/>
        </w:rPr>
      </w:pPr>
      <w:r>
        <w:rPr>
          <w:sz w:val="24"/>
        </w:rPr>
        <w:t>At the end of the day, all of these various initiatives lead to the same goal: helping plastics and petrochemicals companies smooth their revenues, protect their profits, lower their cost of capital, and ultimately improve critical performance ratios.</w:t>
      </w:r>
    </w:p>
    <w:p>
      <w:pPr>
        <w:pStyle w:val="Normal"/>
        <w:spacing w:lineRule="auto" w:line="480"/>
        <w:ind w:firstLine="720" w:end="0"/>
        <w:rPr>
          <w:sz w:val="24"/>
        </w:rPr>
      </w:pPr>
      <w:r>
        <w:rPr>
          <w:sz w:val="24"/>
        </w:rPr>
        <w:t>"Investors and lenders are by nature risk-averse," explains John Nowlan, vice president of the group. "When we help companies smooth out their financial results, we make them more appealing to the financial community."</w:t>
      </w:r>
    </w:p>
    <w:p>
      <w:pPr>
        <w:pStyle w:val="Normal"/>
        <w:pBdr>
          <w:bottom w:val="thickThinMediumGap" w:sz="18" w:space="1" w:color="000000"/>
        </w:pBdr>
        <w:spacing w:lineRule="auto" w:line="480"/>
        <w:ind w:firstLine="720" w:end="0"/>
        <w:rPr>
          <w:sz w:val="24"/>
        </w:rPr>
      </w:pPr>
      <w:r>
        <w:rPr>
          <w:sz w:val="24"/>
        </w:rPr>
        <w:t>That's a benefit they can take to the bank.</w:t>
      </w:r>
    </w:p>
    <w:p>
      <w:pPr>
        <w:pStyle w:val="Normal"/>
        <w:spacing w:lineRule="auto" w:line="480"/>
        <w:jc w:val="both"/>
        <w:rPr>
          <w:sz w:val="24"/>
        </w:rPr>
      </w:pPr>
      <w:r>
        <w:rPr>
          <w:sz w:val="24"/>
        </w:rPr>
      </w:r>
    </w:p>
    <w:p>
      <w:pPr>
        <w:pStyle w:val="Normal"/>
        <w:spacing w:lineRule="auto" w:line="480"/>
        <w:jc w:val="both"/>
        <w:rPr>
          <w:sz w:val="24"/>
        </w:rPr>
      </w:pPr>
      <w:r>
        <w:rPr>
          <w:sz w:val="24"/>
        </w:rPr>
        <w:t>For more information, call Douglas Friedman, Director Enron Plastics and Petrochemicals Group, at (713) 853-5592.</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ind w:hanging="0" w:start="0" w:end="2880"/>
      <w:outlineLvl w:val="0"/>
    </w:pPr>
    <w:rPr>
      <w:sz w:val="24"/>
    </w:rPr>
  </w:style>
  <w:style w:type="paragraph" w:styleId="Heading2">
    <w:name w:val="heading 2"/>
    <w:basedOn w:val="Normal"/>
    <w:next w:val="Normal"/>
    <w:qFormat/>
    <w:pPr>
      <w:keepNext w:val="true"/>
      <w:numPr>
        <w:ilvl w:val="1"/>
        <w:numId w:val="1"/>
      </w:numPr>
      <w:spacing w:lineRule="auto" w:line="480"/>
      <w:ind w:hanging="0" w:start="0" w:end="2880"/>
      <w:outlineLvl w:val="1"/>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hanging="0" w:start="0" w:end="2880"/>
    </w:pPr>
    <w:rPr>
      <w:b/>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ind w:hanging="0" w:start="0" w:end="2880"/>
    </w:pPr>
    <w:rPr>
      <w:b/>
      <w:sz w:val="24"/>
    </w:rPr>
  </w:style>
  <w:style w:type="paragraph" w:styleId="BodyTextIndent">
    <w:name w:val="Body Text Indent"/>
    <w:basedOn w:val="Normal"/>
    <w:pPr>
      <w:spacing w:lineRule="auto" w:line="480"/>
      <w:ind w:firstLine="720" w:start="0" w:end="0"/>
    </w:pPr>
    <w:rPr>
      <w:sz w:val="24"/>
    </w:rPr>
  </w:style>
  <w:style w:type="paragraph" w:styleId="BodyTextIndent2">
    <w:name w:val="Body Text Indent 2"/>
    <w:basedOn w:val="Normal"/>
    <w:qFormat/>
    <w:pPr>
      <w:spacing w:lineRule="auto" w:line="480"/>
      <w:ind w:firstLine="720" w:start="0" w:end="0"/>
    </w:pPr>
    <w:rPr>
      <w:b/>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2000-03-22T13:36:00Z</dcterms:created>
  <dc:creator>Rob Myers</dc:creator>
  <dc:description/>
  <dc:language>en-CA</dc:language>
  <cp:lastModifiedBy>yparker</cp:lastModifiedBy>
  <cp:lastPrinted>2000-03-15T09:36:00Z</cp:lastPrinted>
  <dcterms:modified xsi:type="dcterms:W3CDTF">2000-04-27T13:20:00Z</dcterms:modified>
  <cp:revision>3</cp:revision>
  <dc:subject/>
  <dc:title>Taming Volatility in the Pulp &amp; Paper Industry</dc:title>
</cp:coreProperties>
</file>