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b/>
          <w:bCs/>
          <w:sz w:val="20"/>
          <w:szCs w:val="20"/>
        </w:rPr>
        <w:t xml:space="preserve">US LLDPE Phy </w:t>
      </w:r>
      <w:r>
        <w:rPr>
          <w:rFonts w:cs="Arial" w:ascii="Arial" w:hAnsi="Arial"/>
          <w:b/>
          <w:bCs/>
          <w:sz w:val="20"/>
          <w:szCs w:val="20"/>
          <w:highlight w:val="yellow"/>
        </w:rPr>
        <w:t>Hexene</w:t>
      </w:r>
      <w:r>
        <w:rPr>
          <w:rFonts w:cs="Arial" w:ascii="Arial" w:hAnsi="Arial"/>
          <w:b/>
          <w:bCs/>
          <w:sz w:val="20"/>
          <w:szCs w:val="20"/>
        </w:rPr>
        <w:t xml:space="preserve"> Hou  c/LB</w:t>
      </w:r>
    </w:p>
    <w:p>
      <w:pPr>
        <w:pStyle w:val="Normal"/>
        <w:jc w:val="both"/>
        <w:rPr>
          <w:rFonts w:ascii="Arial" w:hAnsi="Arial" w:cs="Arial"/>
          <w:b/>
          <w:bCs/>
          <w:sz w:val="20"/>
          <w:szCs w:val="20"/>
        </w:rPr>
      </w:pPr>
      <w:r>
        <w:rPr>
          <w:rFonts w:cs="Arial" w:ascii="Arial" w:hAnsi="Arial"/>
          <w:b/>
          <w:bCs/>
          <w:sz w:val="20"/>
          <w:szCs w:val="20"/>
        </w:rPr>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r>
    </w:p>
    <w:p>
      <w:pPr>
        <w:pStyle w:val="BodyText2"/>
        <w:rPr/>
      </w:pPr>
      <w:r>
        <w:rPr/>
        <w:t>If the Transaction is for linear low density polyethylene hexene film grade 0.95MI, this Transaction is for delivery to Houston, Texas.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The price is quoted in cents (US) per unit of measure which will be the Contractual Currency. The unit of measure against which the price is quoted shall be pounds.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rPr>
        <w:t xml:space="preserve">US LLDPE Phy  </w:t>
      </w:r>
      <w:r>
        <w:rPr>
          <w:rFonts w:cs="Arial" w:ascii="Arial" w:hAnsi="Arial"/>
          <w:b/>
          <w:bCs/>
          <w:sz w:val="20"/>
          <w:szCs w:val="20"/>
          <w:highlight w:val="yellow"/>
        </w:rPr>
        <w:t>Butene</w:t>
      </w:r>
      <w:r>
        <w:rPr>
          <w:rFonts w:cs="Arial" w:ascii="Arial" w:hAnsi="Arial"/>
          <w:b/>
          <w:bCs/>
          <w:sz w:val="20"/>
          <w:szCs w:val="20"/>
        </w:rPr>
        <w:t xml:space="preserve"> Hou  c/LB</w:t>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BodyText"/>
        <w:jc w:val="both"/>
        <w:rPr/>
      </w:pPr>
      <w:r>
        <w:rPr/>
        <w:t xml:space="preserve">The term of the Transaction shall correspond to the date(s) set forth in the Product description on the Website. </w:t>
      </w:r>
    </w:p>
    <w:p>
      <w:pPr>
        <w:pStyle w:val="Normal"/>
        <w:jc w:val="both"/>
        <w:rPr/>
      </w:pPr>
      <w:r>
        <w:rPr>
          <w:rFonts w:cs="Arial" w:ascii="Arial" w:hAnsi="Arial"/>
          <w:sz w:val="20"/>
        </w:rPr>
        <w:t xml:space="preserve">If the Transaction is for linear low density polyethylene Butene film grade 0.95MI, </w:t>
      </w:r>
      <w:r>
        <w:rPr>
          <w:rFonts w:cs="Arial" w:ascii="Arial" w:hAnsi="Arial"/>
          <w:sz w:val="20"/>
          <w:szCs w:val="20"/>
        </w:rPr>
        <w:t>this Transaction is for delivery to Houston, Texas.</w:t>
      </w:r>
    </w:p>
    <w:p>
      <w:pPr>
        <w:pStyle w:val="BodyText"/>
        <w:jc w:val="both"/>
        <w:rPr>
          <w:rFonts w:ascii="Arial" w:hAnsi="Arial" w:cs="Arial"/>
          <w:sz w:val="20"/>
          <w:szCs w:val="20"/>
        </w:rPr>
      </w:pPr>
      <w:r>
        <w:rPr>
          <w:rFonts w:cs="Arial"/>
          <w:sz w:val="20"/>
          <w:szCs w:val="20"/>
        </w:rPr>
      </w:r>
    </w:p>
    <w:p>
      <w:pPr>
        <w:pStyle w:val="BodyText"/>
        <w:jc w:val="both"/>
        <w:rPr/>
      </w:pPr>
      <w:r>
        <w:rPr/>
        <w:t>The price is quoted in cents (US) per unit of measure which will be the Contractual Currency. The unit of measure against which the price is quoted shall be pounds.</w:t>
      </w:r>
    </w:p>
    <w:p>
      <w:pPr>
        <w:pStyle w:val="Normal"/>
        <w:jc w:val="both"/>
        <w:rPr/>
      </w:pPr>
      <w:r>
        <w:rPr/>
      </w:r>
    </w:p>
    <w:p>
      <w:pPr>
        <w:pStyle w:val="Normal"/>
        <w:jc w:val="both"/>
        <w:rPr/>
      </w:pPr>
      <w:r>
        <w:rPr>
          <w:rFonts w:cs="Arial" w:ascii="Arial" w:hAnsi="Arial"/>
          <w:b/>
          <w:bCs/>
          <w:sz w:val="20"/>
          <w:szCs w:val="20"/>
        </w:rPr>
        <w:t xml:space="preserve">US HDPE Phy  </w:t>
      </w:r>
      <w:r>
        <w:rPr>
          <w:rFonts w:cs="Arial" w:ascii="Arial" w:hAnsi="Arial"/>
          <w:b/>
          <w:bCs/>
          <w:sz w:val="20"/>
          <w:szCs w:val="20"/>
          <w:highlight w:val="yellow"/>
        </w:rPr>
        <w:t>Inject</w:t>
      </w:r>
      <w:r>
        <w:rPr>
          <w:rFonts w:cs="Arial" w:ascii="Arial" w:hAnsi="Arial"/>
          <w:b/>
          <w:bCs/>
          <w:color w:val="FF0000"/>
          <w:sz w:val="20"/>
          <w:szCs w:val="20"/>
        </w:rPr>
        <w:t xml:space="preserve">8MI </w:t>
      </w:r>
      <w:r>
        <w:rPr>
          <w:rFonts w:cs="Arial" w:ascii="Arial" w:hAnsi="Arial"/>
          <w:b/>
          <w:bCs/>
          <w:sz w:val="20"/>
          <w:szCs w:val="20"/>
        </w:rPr>
        <w:t>Hou   c/LB</w:t>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BodyText"/>
        <w:jc w:val="both"/>
        <w:rPr>
          <w:rFonts w:ascii="Arial" w:hAnsi="Arial" w:cs="Arial"/>
          <w:sz w:val="20"/>
          <w:szCs w:val="20"/>
        </w:rPr>
      </w:pPr>
      <w:r>
        <w:rPr>
          <w:rFonts w:cs="Arial"/>
          <w:sz w:val="20"/>
          <w:szCs w:val="20"/>
        </w:rPr>
      </w:r>
    </w:p>
    <w:p>
      <w:pPr>
        <w:pStyle w:val="BodyText"/>
        <w:jc w:val="both"/>
        <w:rPr/>
      </w:pPr>
      <w:r>
        <w:rPr/>
        <w:t xml:space="preserve">The term of the Transaction shall correspond to the date(s) set forth in the Product description on the Website. </w:t>
      </w:r>
    </w:p>
    <w:p>
      <w:pPr>
        <w:pStyle w:val="Normal"/>
        <w:jc w:val="both"/>
        <w:rPr/>
      </w:pPr>
      <w:r>
        <w:rPr>
          <w:rFonts w:cs="Arial" w:ascii="Arial" w:hAnsi="Arial"/>
          <w:sz w:val="20"/>
        </w:rPr>
        <w:t xml:space="preserve">If the Transaction if for high density polyethylene injection molding grade 8MI, </w:t>
      </w:r>
      <w:r>
        <w:rPr>
          <w:rFonts w:cs="Arial" w:ascii="Arial" w:hAnsi="Arial"/>
          <w:sz w:val="20"/>
          <w:szCs w:val="20"/>
        </w:rPr>
        <w:t>this Transaction is for delivery to Houston, Texas.</w:t>
      </w:r>
    </w:p>
    <w:p>
      <w:pPr>
        <w:pStyle w:val="BodyText"/>
        <w:jc w:val="both"/>
        <w:rPr>
          <w:rFonts w:ascii="Arial" w:hAnsi="Arial" w:cs="Arial"/>
          <w:sz w:val="20"/>
          <w:szCs w:val="20"/>
        </w:rPr>
      </w:pPr>
      <w:r>
        <w:rPr>
          <w:rFonts w:cs="Arial"/>
          <w:sz w:val="20"/>
          <w:szCs w:val="20"/>
        </w:rPr>
      </w:r>
    </w:p>
    <w:p>
      <w:pPr>
        <w:pStyle w:val="BodyText"/>
        <w:jc w:val="both"/>
        <w:rPr/>
      </w:pPr>
      <w:r>
        <w:rPr/>
        <w:t>The price is quoted in cents (US) per unit of measure which will be the Contractual Currency. The unit of measure against which the price is quoted shall be pounds.</w:t>
      </w:r>
    </w:p>
    <w:p>
      <w:pPr>
        <w:pStyle w:val="Normal"/>
        <w:jc w:val="both"/>
        <w:rPr/>
      </w:pPr>
      <w:r>
        <w:rPr/>
      </w:r>
    </w:p>
    <w:p>
      <w:pPr>
        <w:pStyle w:val="Normal"/>
        <w:jc w:val="both"/>
        <w:rPr/>
      </w:pPr>
      <w:r>
        <w:rPr/>
      </w:r>
    </w:p>
    <w:p>
      <w:pPr>
        <w:pStyle w:val="Normal"/>
        <w:jc w:val="both"/>
        <w:rPr/>
      </w:pPr>
      <w:r>
        <w:rPr>
          <w:rFonts w:cs="Arial" w:ascii="Arial" w:hAnsi="Arial"/>
          <w:b/>
          <w:bCs/>
          <w:sz w:val="20"/>
          <w:szCs w:val="20"/>
        </w:rPr>
        <w:t xml:space="preserve">US HDPE Phy  </w:t>
      </w:r>
      <w:r>
        <w:rPr>
          <w:rFonts w:cs="Arial" w:ascii="Arial" w:hAnsi="Arial"/>
          <w:b/>
          <w:bCs/>
          <w:sz w:val="20"/>
          <w:szCs w:val="20"/>
          <w:highlight w:val="yellow"/>
        </w:rPr>
        <w:t>Inject</w:t>
      </w:r>
      <w:r>
        <w:rPr>
          <w:rFonts w:cs="Arial" w:ascii="Arial" w:hAnsi="Arial"/>
          <w:b/>
          <w:bCs/>
          <w:color w:val="FF0000"/>
          <w:sz w:val="20"/>
          <w:szCs w:val="20"/>
        </w:rPr>
        <w:t xml:space="preserve">20MI </w:t>
      </w:r>
      <w:r>
        <w:rPr>
          <w:rFonts w:cs="Arial" w:ascii="Arial" w:hAnsi="Arial"/>
          <w:b/>
          <w:bCs/>
          <w:sz w:val="20"/>
          <w:szCs w:val="20"/>
        </w:rPr>
        <w:t>Hou  c/LB</w:t>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 xml:space="preserve">If the Transaction if for high density polyethylene injection molding grade 20MI., </w:t>
      </w:r>
      <w:r>
        <w:rPr>
          <w:rFonts w:cs="Arial" w:ascii="Arial" w:hAnsi="Arial"/>
          <w:sz w:val="20"/>
          <w:szCs w:val="20"/>
        </w:rPr>
        <w:t>this Transaction is for delivery to Houston, Texas.</w:t>
      </w:r>
    </w:p>
    <w:p>
      <w:pPr>
        <w:pStyle w:val="BodyText"/>
        <w:jc w:val="both"/>
        <w:rPr>
          <w:rFonts w:ascii="Arial" w:hAnsi="Arial" w:cs="Arial"/>
          <w:sz w:val="20"/>
          <w:szCs w:val="20"/>
        </w:rPr>
      </w:pPr>
      <w:r>
        <w:rPr>
          <w:rFonts w:cs="Arial"/>
          <w:sz w:val="20"/>
          <w:szCs w:val="20"/>
        </w:rPr>
      </w:r>
    </w:p>
    <w:p>
      <w:pPr>
        <w:pStyle w:val="Normal"/>
        <w:jc w:val="both"/>
        <w:rPr>
          <w:rFonts w:ascii="Arial" w:hAnsi="Arial" w:cs="Arial"/>
          <w:sz w:val="20"/>
          <w:szCs w:val="20"/>
        </w:rPr>
      </w:pPr>
      <w:r>
        <w:rPr>
          <w:rFonts w:cs="Arial" w:ascii="Arial" w:hAnsi="Arial"/>
          <w:sz w:val="20"/>
          <w:szCs w:val="20"/>
        </w:rPr>
        <w:t xml:space="preserve">The price is quoted in cents (US) per unit of measure which will be the Contractual Currency.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The unit of measure against which the price is quoted shall be pounds.</w:t>
      </w:r>
    </w:p>
    <w:p>
      <w:pPr>
        <w:pStyle w:val="Normal"/>
        <w:jc w:val="both"/>
        <w:rPr>
          <w:rFonts w:ascii="Arial" w:hAnsi="Arial" w:cs="Arial"/>
          <w:b/>
          <w:bCs/>
          <w:sz w:val="20"/>
          <w:szCs w:val="20"/>
        </w:rPr>
      </w:pPr>
      <w:r>
        <w:rPr>
          <w:rFonts w:cs="Arial" w:ascii="Arial" w:hAnsi="Arial"/>
          <w:b/>
          <w:bCs/>
          <w:sz w:val="20"/>
          <w:szCs w:val="20"/>
        </w:rPr>
      </w:r>
    </w:p>
    <w:p>
      <w:pPr>
        <w:pStyle w:val="Normal"/>
        <w:jc w:val="both"/>
        <w:rPr/>
      </w:pPr>
      <w:r>
        <w:rPr>
          <w:rFonts w:cs="Arial" w:ascii="Arial" w:hAnsi="Arial"/>
          <w:b/>
          <w:bCs/>
          <w:sz w:val="20"/>
          <w:szCs w:val="20"/>
        </w:rPr>
        <w:t xml:space="preserve">US HDPE Phy  </w:t>
      </w:r>
      <w:r>
        <w:rPr>
          <w:rFonts w:cs="Arial" w:ascii="Arial" w:hAnsi="Arial"/>
          <w:b/>
          <w:bCs/>
          <w:sz w:val="20"/>
          <w:szCs w:val="20"/>
          <w:highlight w:val="yellow"/>
        </w:rPr>
        <w:t>HMW</w:t>
      </w:r>
      <w:r>
        <w:rPr>
          <w:rFonts w:cs="Arial" w:ascii="Arial" w:hAnsi="Arial"/>
          <w:b/>
          <w:bCs/>
          <w:sz w:val="20"/>
          <w:szCs w:val="20"/>
        </w:rPr>
        <w:t>0.04MI Hou   c/LB</w:t>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 xml:space="preserve">If the Transaction is for high density polyethylene HMW film grade 0.04MI., </w:t>
      </w:r>
      <w:r>
        <w:rPr>
          <w:rFonts w:cs="Arial" w:ascii="Arial" w:hAnsi="Arial"/>
          <w:sz w:val="20"/>
          <w:szCs w:val="20"/>
        </w:rPr>
        <w:t>this Transaction is for delivery to Houston, Texas.</w:t>
      </w:r>
    </w:p>
    <w:p>
      <w:pPr>
        <w:pStyle w:val="BodyText"/>
        <w:jc w:val="both"/>
        <w:rPr>
          <w:rFonts w:ascii="Arial" w:hAnsi="Arial" w:cs="Arial"/>
          <w:sz w:val="20"/>
          <w:szCs w:val="20"/>
        </w:rPr>
      </w:pPr>
      <w:r>
        <w:rPr>
          <w:rFonts w:cs="Arial"/>
          <w:sz w:val="20"/>
          <w:szCs w:val="20"/>
        </w:rPr>
      </w:r>
    </w:p>
    <w:p>
      <w:pPr>
        <w:pStyle w:val="Normal"/>
        <w:jc w:val="both"/>
        <w:rPr>
          <w:rFonts w:ascii="Arial" w:hAnsi="Arial" w:cs="Arial"/>
          <w:sz w:val="20"/>
          <w:szCs w:val="20"/>
        </w:rPr>
      </w:pPr>
      <w:r>
        <w:rPr>
          <w:rFonts w:cs="Arial" w:ascii="Arial" w:hAnsi="Arial"/>
          <w:sz w:val="20"/>
          <w:szCs w:val="20"/>
        </w:rPr>
        <w:t>The price is quoted in cents (US) per unit of measure which will be the Contractual Currency. The unit of measure against which the price is quoted shall be pounds.</w:t>
      </w:r>
      <w:r>
        <w:br w:type="page"/>
      </w:r>
    </w:p>
    <w:p>
      <w:pPr>
        <w:pStyle w:val="Normal"/>
        <w:jc w:val="both"/>
        <w:rPr/>
      </w:pPr>
      <w:r>
        <w:rPr/>
      </w:r>
    </w:p>
    <w:p>
      <w:pPr>
        <w:pStyle w:val="Normal"/>
        <w:jc w:val="both"/>
        <w:rPr/>
      </w:pPr>
      <w:r>
        <w:rPr>
          <w:rFonts w:cs="Arial" w:ascii="Arial" w:hAnsi="Arial"/>
          <w:b/>
          <w:bCs/>
          <w:sz w:val="20"/>
          <w:szCs w:val="20"/>
        </w:rPr>
        <w:t xml:space="preserve">US PP-HP Phy </w:t>
      </w:r>
      <w:r>
        <w:rPr>
          <w:rFonts w:cs="Arial" w:ascii="Arial" w:hAnsi="Arial"/>
          <w:b/>
          <w:bCs/>
          <w:sz w:val="20"/>
          <w:szCs w:val="20"/>
          <w:highlight w:val="yellow"/>
        </w:rPr>
        <w:t>3MFR</w:t>
      </w:r>
      <w:r>
        <w:rPr>
          <w:rFonts w:cs="Arial" w:ascii="Arial" w:hAnsi="Arial"/>
          <w:b/>
          <w:bCs/>
          <w:sz w:val="20"/>
          <w:szCs w:val="20"/>
        </w:rPr>
        <w:t xml:space="preserve"> Hou   c/LB</w:t>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BodyText"/>
        <w:jc w:val="both"/>
        <w:rPr>
          <w:rFonts w:eastAsia="Arial"/>
        </w:rPr>
      </w:pPr>
      <w:r>
        <w:rPr>
          <w:rFonts w:eastAsia="Arial"/>
        </w:rPr>
        <w:t xml:space="preserve"> </w:t>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t>If the Transaction is for Polypropylene homopolymer BOPP film 3MFR.,  this Transaction is for delivery to Houston, Texas.</w:t>
      </w:r>
    </w:p>
    <w:p>
      <w:pPr>
        <w:pStyle w:val="Normal"/>
        <w:jc w:val="both"/>
        <w:rPr>
          <w:rFonts w:ascii="Arial" w:hAnsi="Arial" w:cs="Arial"/>
          <w:sz w:val="20"/>
          <w:szCs w:val="20"/>
        </w:rPr>
      </w:pPr>
      <w:r>
        <w:rPr>
          <w:rFonts w:cs="Arial" w:ascii="Arial" w:hAnsi="Arial"/>
          <w:sz w:val="20"/>
          <w:szCs w:val="20"/>
        </w:rPr>
      </w:r>
    </w:p>
    <w:p>
      <w:pPr>
        <w:pStyle w:val="BodyText"/>
        <w:jc w:val="both"/>
        <w:rPr/>
      </w:pPr>
      <w:r>
        <w:rPr/>
        <w:t>The price is quoted in cents (US) per unit of measure which will be the Contractual Currency. The unit of measure against which the price is quoted shall be pounds.</w:t>
      </w:r>
    </w:p>
    <w:p>
      <w:pPr>
        <w:pStyle w:val="Normal"/>
        <w:jc w:val="both"/>
        <w:rPr>
          <w:rFonts w:ascii="Arial" w:hAnsi="Arial" w:cs="Arial"/>
        </w:rPr>
      </w:pPr>
      <w:r>
        <w:rPr>
          <w:rFonts w:cs="Arial" w:ascii="Arial" w:hAnsi="Arial"/>
        </w:rPr>
      </w:r>
    </w:p>
    <w:p>
      <w:pPr>
        <w:pStyle w:val="Normal"/>
        <w:jc w:val="both"/>
        <w:rPr/>
      </w:pPr>
      <w:r>
        <w:rPr>
          <w:rFonts w:cs="Arial" w:ascii="Arial" w:hAnsi="Arial"/>
          <w:b/>
          <w:bCs/>
          <w:sz w:val="20"/>
          <w:szCs w:val="20"/>
        </w:rPr>
        <w:t xml:space="preserve">US PP-HP Phy  </w:t>
      </w:r>
      <w:r>
        <w:rPr>
          <w:rFonts w:cs="Arial" w:ascii="Arial" w:hAnsi="Arial"/>
          <w:b/>
          <w:bCs/>
          <w:sz w:val="20"/>
          <w:szCs w:val="20"/>
          <w:highlight w:val="yellow"/>
        </w:rPr>
        <w:t>17MFR</w:t>
      </w:r>
      <w:r>
        <w:rPr>
          <w:rFonts w:cs="Arial" w:ascii="Arial" w:hAnsi="Arial"/>
          <w:b/>
          <w:bCs/>
          <w:sz w:val="20"/>
          <w:szCs w:val="20"/>
        </w:rPr>
        <w:t xml:space="preserve"> Hou    c/LB</w:t>
      </w:r>
    </w:p>
    <w:p>
      <w:pPr>
        <w:pStyle w:val="Normal"/>
        <w:jc w:val="both"/>
        <w:rPr>
          <w:rFonts w:ascii="Arial" w:hAnsi="Arial" w:cs="Arial"/>
          <w:b/>
          <w:bCs/>
          <w:sz w:val="20"/>
          <w:szCs w:val="20"/>
        </w:rPr>
      </w:pPr>
      <w:r>
        <w:rPr>
          <w:rFonts w:cs="Arial" w:ascii="Arial" w:hAnsi="Arial"/>
          <w:b/>
          <w:bCs/>
          <w:sz w:val="20"/>
          <w:szCs w:val="20"/>
        </w:rPr>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If the Transaction is for Polypropylene homopolymer BCF fiber 17MFR, this Transaction is for delivery to Houston, Texas.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The price is quoted in cents (US) per unit of measure which will be the Contractual Currency. The unit of measure against which the price is quoted shall be pounds.</w:t>
      </w:r>
    </w:p>
    <w:p>
      <w:pPr>
        <w:pStyle w:val="Normal"/>
        <w:jc w:val="both"/>
        <w:rPr>
          <w:rFonts w:ascii="Arial" w:hAnsi="Arial" w:cs="Arial"/>
          <w:sz w:val="20"/>
          <w:szCs w:val="20"/>
        </w:rPr>
      </w:pPr>
      <w:r>
        <w:rPr>
          <w:rFonts w:cs="Arial" w:ascii="Arial" w:hAnsi="Arial"/>
          <w:sz w:val="20"/>
          <w:szCs w:val="20"/>
        </w:rPr>
      </w:r>
      <w:r>
        <w:br w:type="page"/>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rPr>
        <w:t xml:space="preserve">US PP-HP Phy  </w:t>
      </w:r>
      <w:r>
        <w:rPr>
          <w:rFonts w:cs="Arial" w:ascii="Arial" w:hAnsi="Arial"/>
          <w:b/>
          <w:bCs/>
          <w:sz w:val="20"/>
          <w:szCs w:val="20"/>
          <w:highlight w:val="yellow"/>
        </w:rPr>
        <w:t>Inject</w:t>
      </w:r>
      <w:r>
        <w:rPr>
          <w:rFonts w:cs="Arial" w:ascii="Arial" w:hAnsi="Arial"/>
          <w:b/>
          <w:bCs/>
          <w:color w:val="FF0000"/>
          <w:sz w:val="20"/>
          <w:szCs w:val="20"/>
        </w:rPr>
        <w:t xml:space="preserve">20MFR </w:t>
      </w:r>
      <w:r>
        <w:rPr>
          <w:rFonts w:cs="Arial" w:ascii="Arial" w:hAnsi="Arial"/>
          <w:b/>
          <w:bCs/>
          <w:sz w:val="20"/>
          <w:szCs w:val="20"/>
        </w:rPr>
        <w:t>Hou c/LB</w:t>
      </w:r>
    </w:p>
    <w:p>
      <w:pPr>
        <w:pStyle w:val="Normal"/>
        <w:jc w:val="both"/>
        <w:rPr>
          <w:rFonts w:ascii="Arial" w:hAnsi="Arial" w:cs="Arial"/>
          <w:b/>
          <w:bCs/>
          <w:sz w:val="20"/>
          <w:szCs w:val="20"/>
        </w:rPr>
      </w:pPr>
      <w:r>
        <w:rPr>
          <w:rFonts w:cs="Arial" w:ascii="Arial" w:hAnsi="Arial"/>
          <w:b/>
          <w:bCs/>
          <w:sz w:val="20"/>
          <w:szCs w:val="20"/>
        </w:rPr>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If the Transaction is for Polypropylene homopolymer Injection Mold 20MFR., this Transaction is for delivery to Houston, Texas.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The price is quoted in cents (US) per unit of measure which will be the Contractual Currency. The unit of measure against which the price is quoted shall be pounds.</w:t>
      </w:r>
    </w:p>
    <w:p>
      <w:pPr>
        <w:pStyle w:val="Normal"/>
        <w:jc w:val="both"/>
        <w:rPr/>
      </w:pPr>
      <w:r>
        <w:rPr/>
      </w:r>
    </w:p>
    <w:p>
      <w:pPr>
        <w:pStyle w:val="Normal"/>
        <w:jc w:val="both"/>
        <w:rPr/>
      </w:pPr>
      <w:r>
        <w:rPr/>
      </w:r>
    </w:p>
    <w:p>
      <w:pPr>
        <w:pStyle w:val="Normal"/>
        <w:jc w:val="both"/>
        <w:rPr/>
      </w:pPr>
      <w:r>
        <w:rPr>
          <w:rFonts w:cs="Arial" w:ascii="Arial" w:hAnsi="Arial"/>
          <w:b/>
          <w:bCs/>
          <w:sz w:val="20"/>
          <w:szCs w:val="20"/>
        </w:rPr>
        <w:t xml:space="preserve">US PP-HP Phy  </w:t>
      </w:r>
      <w:r>
        <w:rPr>
          <w:rFonts w:cs="Arial" w:ascii="Arial" w:hAnsi="Arial"/>
          <w:b/>
          <w:bCs/>
          <w:sz w:val="20"/>
          <w:szCs w:val="20"/>
          <w:highlight w:val="yellow"/>
        </w:rPr>
        <w:t>Inject</w:t>
      </w:r>
      <w:r>
        <w:rPr>
          <w:rFonts w:cs="Arial" w:ascii="Arial" w:hAnsi="Arial"/>
          <w:b/>
          <w:bCs/>
          <w:color w:val="FF0000"/>
          <w:sz w:val="20"/>
          <w:szCs w:val="20"/>
        </w:rPr>
        <w:t xml:space="preserve">35MFR </w:t>
      </w:r>
      <w:r>
        <w:rPr>
          <w:rFonts w:cs="Arial" w:ascii="Arial" w:hAnsi="Arial"/>
          <w:b/>
          <w:bCs/>
          <w:sz w:val="20"/>
          <w:szCs w:val="20"/>
        </w:rPr>
        <w:t>Hou c/LB</w:t>
      </w:r>
    </w:p>
    <w:p>
      <w:pPr>
        <w:pStyle w:val="Normal"/>
        <w:jc w:val="both"/>
        <w:rPr>
          <w:rFonts w:ascii="Arial" w:hAnsi="Arial" w:cs="Arial"/>
          <w:b/>
          <w:bCs/>
          <w:sz w:val="20"/>
          <w:szCs w:val="20"/>
        </w:rPr>
      </w:pPr>
      <w:r>
        <w:rPr>
          <w:rFonts w:cs="Arial" w:ascii="Arial" w:hAnsi="Arial"/>
          <w:b/>
          <w:bCs/>
          <w:sz w:val="20"/>
          <w:szCs w:val="20"/>
        </w:rPr>
      </w:r>
    </w:p>
    <w:p>
      <w:pPr>
        <w:pStyle w:val="Normal"/>
        <w:jc w:val="both"/>
        <w:rPr/>
      </w:pPr>
      <w:r>
        <w:rPr>
          <w:rFonts w:cs="Arial" w:ascii="Arial" w:hAnsi="Arial"/>
          <w:sz w:val="20"/>
          <w:szCs w:val="20"/>
          <w:highlight w:val="yellow"/>
        </w:rPr>
        <w:t>A US physical Transaction with Enron Petrochemicals Company, a division of Enron Liquids Fuels, Inc. where the Seller shall sell and the Buyer shall purchase the agreed quantity submitted by the Counterparty on the Website in each case in respect of the Notional Quantity per Determination Period. Each calendar month during the term of the Transaction will be a Determination Period. The commodity will be delivered on an FOB basis by Seller upon five (5) working days notice by Buyer and on a day selected by Buyer between the Effective Date and the Termination Date. The Notional Quantity per Determination Period shall be the volume submitted by the Counterparty via the Website. The Payment Date(s) will be 5 business days.</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The term of the Transaction shall correspond to the date(s) set forth in the Product description on the Website.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If the Transaction is for Polypropylene homopolymer Injection Mold 35MFR., This Transaction is for delivery to Houston, Texas.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The price is quoted in cents (US) per unit of measure which will be the Contractual Currency. The unit of measure against which the price is quoted shall be pounds.</w:t>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2001-10-17T12:55:00Z</dcterms:created>
  <dc:creator>clebroc</dc:creator>
  <dc:description/>
  <dc:language>en-CA</dc:language>
  <cp:lastModifiedBy>mlozano</cp:lastModifiedBy>
  <cp:lastPrinted>2001-10-03T09:44:00Z</cp:lastPrinted>
  <dcterms:modified xsi:type="dcterms:W3CDTF">2001-10-17T17:53:00Z</dcterms:modified>
  <cp:revision>13</cp:revision>
  <dc:subject/>
  <dc:title>US LLDPE Physical Hexene Film CMAI c/LB</dc:title>
</cp:coreProperties>
</file>