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sz w:val="28"/>
        </w:rPr>
      </w:pPr>
      <w:r>
        <w:rPr/>
        <w:drawing>
          <wp:inline distT="0" distB="0" distL="0" distR="0">
            <wp:extent cx="1679575" cy="1458595"/>
            <wp:effectExtent l="0" t="0" r="0" b="0"/>
            <wp:docPr id="1"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 title=""/>
                    <pic:cNvPicPr>
                      <a:picLocks noChangeAspect="1" noChangeArrowheads="1"/>
                    </pic:cNvPicPr>
                  </pic:nvPicPr>
                  <pic:blipFill>
                    <a:blip r:embed="rId2"/>
                    <a:srcRect l="-13" t="-15" r="-13" b="-15"/>
                    <a:stretch>
                      <a:fillRect/>
                    </a:stretch>
                  </pic:blipFill>
                  <pic:spPr bwMode="auto">
                    <a:xfrm>
                      <a:off x="0" y="0"/>
                      <a:ext cx="1679575" cy="1458595"/>
                    </a:xfrm>
                    <a:prstGeom prst="rect">
                      <a:avLst/>
                    </a:prstGeom>
                    <a:noFill/>
                  </pic:spPr>
                </pic:pic>
              </a:graphicData>
            </a:graphic>
          </wp:inline>
        </w:drawing>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t>Report to the</w:t>
      </w:r>
    </w:p>
    <w:p>
      <w:pPr>
        <w:pStyle w:val="Normal"/>
        <w:jc w:val="center"/>
        <w:rPr>
          <w:b/>
          <w:sz w:val="28"/>
        </w:rPr>
      </w:pPr>
      <w:r>
        <w:rPr>
          <w:b/>
          <w:sz w:val="28"/>
        </w:rPr>
      </w:r>
    </w:p>
    <w:p>
      <w:pPr>
        <w:pStyle w:val="Normal"/>
        <w:jc w:val="center"/>
        <w:rPr>
          <w:b/>
          <w:sz w:val="28"/>
        </w:rPr>
      </w:pPr>
      <w:r>
        <w:rPr>
          <w:b/>
          <w:sz w:val="28"/>
        </w:rPr>
        <w:t>Greater Houston Partnership</w:t>
      </w:r>
    </w:p>
    <w:p>
      <w:pPr>
        <w:pStyle w:val="Normal"/>
        <w:jc w:val="center"/>
        <w:rPr>
          <w:b/>
          <w:sz w:val="28"/>
        </w:rPr>
      </w:pPr>
      <w:r>
        <w:rPr>
          <w:b/>
          <w:sz w:val="28"/>
        </w:rPr>
      </w:r>
    </w:p>
    <w:p>
      <w:pPr>
        <w:pStyle w:val="Normal"/>
        <w:jc w:val="center"/>
        <w:rPr>
          <w:b/>
          <w:sz w:val="28"/>
        </w:rPr>
      </w:pPr>
      <w:r>
        <w:rPr>
          <w:b/>
          <w:sz w:val="28"/>
        </w:rPr>
        <w:t>Planning and Budget Committee</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sz w:val="28"/>
        </w:rPr>
      </w:pPr>
      <w:r>
        <w:rPr>
          <w:sz w:val="28"/>
        </w:rPr>
        <w:t>October 17, 2001</w:t>
      </w:r>
      <w:r>
        <w:br w:type="page"/>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drawing>
          <wp:inline distT="0" distB="0" distL="0" distR="0">
            <wp:extent cx="1679575" cy="145859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13" t="-15" r="-13" b="-15"/>
                    <a:stretch>
                      <a:fillRect/>
                    </a:stretch>
                  </pic:blipFill>
                  <pic:spPr bwMode="auto">
                    <a:xfrm>
                      <a:off x="0" y="0"/>
                      <a:ext cx="1679575" cy="1458595"/>
                    </a:xfrm>
                    <a:prstGeom prst="rect">
                      <a:avLst/>
                    </a:prstGeom>
                    <a:noFill/>
                  </pic:spPr>
                </pic:pic>
              </a:graphicData>
            </a:graphic>
          </wp:inline>
        </w:drawing>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t>Report to the</w:t>
      </w:r>
    </w:p>
    <w:p>
      <w:pPr>
        <w:pStyle w:val="Normal"/>
        <w:jc w:val="center"/>
        <w:rPr>
          <w:b/>
          <w:sz w:val="28"/>
        </w:rPr>
      </w:pPr>
      <w:r>
        <w:rPr>
          <w:b/>
          <w:sz w:val="28"/>
        </w:rPr>
      </w:r>
    </w:p>
    <w:p>
      <w:pPr>
        <w:pStyle w:val="Normal"/>
        <w:jc w:val="center"/>
        <w:rPr>
          <w:b/>
          <w:sz w:val="28"/>
        </w:rPr>
      </w:pPr>
      <w:r>
        <w:rPr>
          <w:b/>
          <w:sz w:val="28"/>
        </w:rPr>
        <w:t>Board of Directors</w:t>
      </w:r>
    </w:p>
    <w:p>
      <w:pPr>
        <w:pStyle w:val="Normal"/>
        <w:jc w:val="center"/>
        <w:rPr>
          <w:b/>
          <w:sz w:val="28"/>
        </w:rPr>
      </w:pPr>
      <w:r>
        <w:rPr>
          <w:b/>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t>October 17, 2001</w:t>
      </w:r>
      <w:r>
        <w:br w:type="page"/>
      </w:r>
    </w:p>
    <w:p>
      <w:pPr>
        <w:pStyle w:val="Normal"/>
        <w:jc w:val="center"/>
        <w:rPr>
          <w:b/>
          <w:sz w:val="28"/>
        </w:rPr>
      </w:pPr>
      <w:r>
        <w:rPr>
          <w:b/>
          <w:sz w:val="28"/>
        </w:rPr>
      </w:r>
    </w:p>
    <w:p>
      <w:pPr>
        <w:pStyle w:val="Normal"/>
        <w:jc w:val="end"/>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jc w:val="center"/>
        <w:rPr>
          <w:b/>
          <w:sz w:val="28"/>
        </w:rPr>
      </w:pPr>
      <w:r>
        <w:rPr/>
        <w:drawing>
          <wp:inline distT="0" distB="0" distL="0" distR="0">
            <wp:extent cx="1566545" cy="135826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4"/>
                    <a:srcRect l="-13" t="-15" r="-13" b="-15"/>
                    <a:stretch>
                      <a:fillRect/>
                    </a:stretch>
                  </pic:blipFill>
                  <pic:spPr bwMode="auto">
                    <a:xfrm>
                      <a:off x="0" y="0"/>
                      <a:ext cx="1566545" cy="1358265"/>
                    </a:xfrm>
                    <a:prstGeom prst="rect">
                      <a:avLst/>
                    </a:prstGeom>
                    <a:noFill/>
                  </pic:spPr>
                </pic:pic>
              </a:graphicData>
            </a:graphic>
          </wp:inline>
        </w:drawing>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t>2001 Review</w:t>
      </w:r>
    </w:p>
    <w:p>
      <w:pPr>
        <w:pStyle w:val="Normal"/>
        <w:jc w:val="center"/>
        <w:rPr>
          <w:b/>
          <w:sz w:val="28"/>
        </w:rPr>
      </w:pPr>
      <w:r>
        <w:rPr>
          <w:b/>
          <w:sz w:val="28"/>
        </w:rPr>
      </w:r>
    </w:p>
    <w:p>
      <w:pPr>
        <w:pStyle w:val="Normal"/>
        <w:jc w:val="center"/>
        <w:rPr>
          <w:b/>
          <w:sz w:val="28"/>
        </w:rPr>
      </w:pPr>
      <w:r>
        <w:rPr>
          <w:b/>
          <w:sz w:val="28"/>
        </w:rPr>
        <w:t>2002 Work Plan</w:t>
      </w:r>
    </w:p>
    <w:p>
      <w:pPr>
        <w:pStyle w:val="Normal"/>
        <w:jc w:val="center"/>
        <w:rPr>
          <w:b/>
          <w:sz w:val="28"/>
        </w:rPr>
      </w:pPr>
      <w:r>
        <w:rPr>
          <w:b/>
          <w:sz w:val="28"/>
        </w:rPr>
      </w:r>
    </w:p>
    <w:p>
      <w:pPr>
        <w:pStyle w:val="Normal"/>
        <w:jc w:val="center"/>
        <w:rPr>
          <w:b/>
          <w:sz w:val="28"/>
        </w:rPr>
      </w:pPr>
      <w:r>
        <w:rPr>
          <w:b/>
          <w:sz w:val="28"/>
        </w:rPr>
      </w:r>
    </w:p>
    <w:p>
      <w:pPr>
        <w:pStyle w:val="Normal"/>
        <w:jc w:val="end"/>
        <w:rPr>
          <w:b/>
          <w:sz w:val="28"/>
        </w:rPr>
      </w:pPr>
      <w:r>
        <w:rPr>
          <w:b/>
          <w:sz w:val="28"/>
        </w:rPr>
      </w:r>
    </w:p>
    <w:p>
      <w:pPr>
        <w:pStyle w:val="Normal"/>
        <w:jc w:val="end"/>
        <w:rPr/>
      </w:pPr>
      <w:r>
        <w:rPr/>
      </w:r>
    </w:p>
    <w:p>
      <w:pPr>
        <w:pStyle w:val="Normal"/>
        <w:jc w:val="end"/>
        <w:rPr/>
      </w:pPr>
      <w:r>
        <w:rPr/>
      </w:r>
    </w:p>
    <w:p>
      <w:pPr>
        <w:pStyle w:val="Normal"/>
        <w:jc w:val="end"/>
        <w:rPr/>
      </w:pPr>
      <w:r>
        <w:rPr/>
      </w:r>
    </w:p>
    <w:p>
      <w:pPr>
        <w:sectPr>
          <w:footerReference w:type="default" r:id="rId5"/>
          <w:footerReference w:type="first" r:id="rId6"/>
          <w:type w:val="nextPage"/>
          <w:pgSz w:w="12240" w:h="15840"/>
          <w:pgMar w:left="1800" w:right="1800" w:gutter="0" w:header="0" w:top="1440" w:footer="720" w:bottom="1440"/>
          <w:pgNumType w:start="1" w:fmt="decimal"/>
          <w:formProt w:val="false"/>
          <w:titlePg/>
          <w:textDirection w:val="lrTb"/>
          <w:docGrid w:type="default" w:linePitch="360" w:charSpace="0"/>
        </w:sectPr>
      </w:pPr>
    </w:p>
    <w:p>
      <w:pPr>
        <w:pStyle w:val="Normal"/>
        <w:jc w:val="end"/>
        <w:rPr/>
      </w:pPr>
      <w:r>
        <w:rPr/>
      </w:r>
    </w:p>
    <w:p>
      <w:pPr>
        <w:pStyle w:val="Normal"/>
        <w:rPr>
          <w:b/>
        </w:rPr>
      </w:pPr>
      <w:r>
        <w:rPr>
          <w:b/>
        </w:rPr>
        <w:t>2001 ACCOMPLISHMENTS AND CHALLENGES</w:t>
      </w:r>
    </w:p>
    <w:p>
      <w:pPr>
        <w:pStyle w:val="Normal"/>
        <w:rPr>
          <w:b/>
          <w:sz w:val="22"/>
        </w:rPr>
      </w:pPr>
      <w:r>
        <w:rPr>
          <w:b/>
          <w:sz w:val="22"/>
        </w:rPr>
      </w:r>
    </w:p>
    <w:p>
      <w:pPr>
        <w:pStyle w:val="Normal"/>
        <w:rPr>
          <w:sz w:val="22"/>
        </w:rPr>
      </w:pPr>
      <w:r>
        <w:rPr>
          <w:b/>
          <w:sz w:val="22"/>
        </w:rPr>
        <w:t>2001 ACCOMPLISHMENTS</w:t>
      </w:r>
    </w:p>
    <w:p>
      <w:pPr>
        <w:pStyle w:val="Normal"/>
        <w:rPr>
          <w:sz w:val="22"/>
        </w:rPr>
      </w:pPr>
      <w:r>
        <w:rPr>
          <w:sz w:val="22"/>
        </w:rPr>
      </w:r>
    </w:p>
    <w:p>
      <w:pPr>
        <w:pStyle w:val="Normal"/>
        <w:rPr>
          <w:sz w:val="22"/>
        </w:rPr>
      </w:pPr>
      <w:r>
        <w:rPr>
          <w:sz w:val="22"/>
        </w:rPr>
        <w:tab/>
        <w:t>The current year has been an essential and successful direction-setting and base-building period, with a good start toward populating The Center with excellent people and toward fulfilling goals.</w:t>
      </w:r>
    </w:p>
    <w:p>
      <w:pPr>
        <w:pStyle w:val="Normal"/>
        <w:tabs>
          <w:tab w:val="left" w:pos="720" w:leader="none"/>
          <w:tab w:val="left" w:pos="1080" w:leader="none"/>
          <w:tab w:val="left" w:pos="1440" w:leader="none"/>
        </w:tabs>
        <w:rPr>
          <w:sz w:val="22"/>
        </w:rPr>
      </w:pPr>
      <w:r>
        <w:rPr>
          <w:sz w:val="22"/>
        </w:rPr>
      </w:r>
    </w:p>
    <w:p>
      <w:pPr>
        <w:pStyle w:val="Normal"/>
        <w:tabs>
          <w:tab w:val="left" w:pos="720" w:leader="none"/>
          <w:tab w:val="left" w:pos="1080" w:leader="none"/>
          <w:tab w:val="left" w:pos="1440" w:leader="none"/>
        </w:tabs>
        <w:ind w:hanging="720" w:start="720" w:end="0"/>
        <w:rPr/>
      </w:pPr>
      <w:r>
        <w:rPr>
          <w:sz w:val="22"/>
        </w:rPr>
        <w:t>I.</w:t>
        <w:tab/>
      </w:r>
      <w:r>
        <w:rPr>
          <w:sz w:val="22"/>
          <w:u w:val="single"/>
        </w:rPr>
        <w:t>Work Plans</w:t>
      </w:r>
      <w:r>
        <w:rPr>
          <w:sz w:val="22"/>
        </w:rPr>
        <w:t>:  Following approval of the three major programs by The Center’s Board in October 2000, the major accomplishment of the first third of 2001 was creation of detailed work plans for each major program.  These were approved by the Board in April (Exhibit 1 – Work Plan, under separate cover) as the guide to The Center’s ongoing efforts.</w:t>
      </w:r>
    </w:p>
    <w:p>
      <w:pPr>
        <w:pStyle w:val="Normal"/>
        <w:tabs>
          <w:tab w:val="left" w:pos="720" w:leader="none"/>
          <w:tab w:val="left" w:pos="1080" w:leader="none"/>
          <w:tab w:val="left" w:pos="1440" w:leader="none"/>
        </w:tabs>
        <w:rPr>
          <w:sz w:val="22"/>
        </w:rPr>
      </w:pPr>
      <w:r>
        <w:rPr>
          <w:sz w:val="22"/>
        </w:rPr>
      </w:r>
    </w:p>
    <w:p>
      <w:pPr>
        <w:pStyle w:val="Normal"/>
        <w:tabs>
          <w:tab w:val="left" w:pos="720" w:leader="none"/>
          <w:tab w:val="left" w:pos="1080" w:leader="none"/>
          <w:tab w:val="left" w:pos="1440" w:leader="none"/>
        </w:tabs>
        <w:rPr>
          <w:sz w:val="22"/>
        </w:rPr>
      </w:pPr>
      <w:r>
        <w:rPr>
          <w:sz w:val="22"/>
        </w:rPr>
        <w:tab/>
        <w:t>A.</w:t>
        <w:tab/>
        <w:t>Business / Civic Leadership Development</w:t>
      </w:r>
    </w:p>
    <w:p>
      <w:pPr>
        <w:pStyle w:val="Normal"/>
        <w:tabs>
          <w:tab w:val="left" w:pos="720" w:leader="none"/>
          <w:tab w:val="left" w:pos="1080" w:leader="none"/>
          <w:tab w:val="left" w:pos="1440" w:leader="none"/>
        </w:tabs>
        <w:rPr>
          <w:sz w:val="22"/>
        </w:rPr>
      </w:pPr>
      <w:r>
        <w:rPr>
          <w:sz w:val="22"/>
        </w:rPr>
      </w:r>
    </w:p>
    <w:p>
      <w:pPr>
        <w:pStyle w:val="Normal"/>
        <w:tabs>
          <w:tab w:val="left" w:pos="720" w:leader="none"/>
          <w:tab w:val="left" w:pos="1080" w:leader="none"/>
          <w:tab w:val="left" w:pos="1440" w:leader="none"/>
        </w:tabs>
        <w:ind w:hanging="1440" w:start="1440" w:end="0"/>
        <w:rPr>
          <w:sz w:val="22"/>
        </w:rPr>
      </w:pPr>
      <w:r>
        <w:rPr>
          <w:sz w:val="22"/>
        </w:rPr>
        <w:tab/>
        <w:tab/>
        <w:t>1)</w:t>
        <w:tab/>
        <w:t>Established Leadership Development Committee.  Refined Business-Civic Leadership Forum selection process.  Defined Business-Civic Leadership Forum</w:t>
      </w:r>
    </w:p>
    <w:p>
      <w:pPr>
        <w:pStyle w:val="Normal"/>
        <w:tabs>
          <w:tab w:val="left" w:pos="720" w:leader="none"/>
          <w:tab w:val="left" w:pos="1080" w:leader="none"/>
          <w:tab w:val="left" w:pos="1440" w:leader="none"/>
        </w:tabs>
        <w:ind w:hanging="1440" w:start="1440" w:end="0"/>
        <w:rPr>
          <w:sz w:val="22"/>
        </w:rPr>
      </w:pPr>
      <w:r>
        <w:rPr>
          <w:sz w:val="22"/>
        </w:rPr>
        <w:tab/>
        <w:tab/>
        <w:tab/>
        <w:t>objectives and agenda.  Obtained the commitment of 36 outstanding business-civic leaders to two sessions totaling 5 days.  Obtained commitments for 16 of the 35 for Winter 2002 Business-Civic Leadership Forum.  (Exhibit 2 - Fall 2001 Business/Civic Leadership Forum roster; Exhibit 3 – Analysis of Diversity of Forum Participants; Exhibit 4 – Fall 2001 Business-Civic Leadership Forum Agenda; Exhibit 5 – 2002 Winter Business-Civic Leadership Forum roster to date)</w:t>
      </w:r>
    </w:p>
    <w:p>
      <w:pPr>
        <w:pStyle w:val="Normal"/>
        <w:tabs>
          <w:tab w:val="left" w:pos="720" w:leader="none"/>
          <w:tab w:val="left" w:pos="1080" w:leader="none"/>
          <w:tab w:val="left" w:pos="1440" w:leader="none"/>
        </w:tabs>
        <w:ind w:hanging="1440" w:start="1440" w:end="0"/>
        <w:rPr>
          <w:sz w:val="22"/>
        </w:rPr>
      </w:pPr>
      <w:r>
        <w:rPr>
          <w:sz w:val="22"/>
        </w:rPr>
      </w:r>
    </w:p>
    <w:p>
      <w:pPr>
        <w:pStyle w:val="Normal"/>
        <w:tabs>
          <w:tab w:val="left" w:pos="720" w:leader="none"/>
          <w:tab w:val="left" w:pos="1080" w:leader="none"/>
          <w:tab w:val="left" w:pos="1440" w:leader="none"/>
        </w:tabs>
        <w:ind w:hanging="1440" w:start="1440" w:end="0"/>
        <w:rPr>
          <w:sz w:val="22"/>
        </w:rPr>
      </w:pPr>
      <w:r>
        <w:rPr>
          <w:sz w:val="22"/>
        </w:rPr>
        <w:tab/>
        <w:tab/>
        <w:t>2)</w:t>
        <w:tab/>
        <w:t>Successfully launched initial Business-Civic Leadership Forum (September 27-29 and November 1-3) under the direction of the Leadership Development Committee.  (Exhibit 6 – Forum feedback)</w:t>
      </w:r>
    </w:p>
    <w:p>
      <w:pPr>
        <w:pStyle w:val="Normal"/>
        <w:tabs>
          <w:tab w:val="left" w:pos="720" w:leader="none"/>
          <w:tab w:val="left" w:pos="1080" w:leader="none"/>
          <w:tab w:val="left" w:pos="1440" w:leader="none"/>
        </w:tabs>
        <w:ind w:hanging="1440" w:start="1440" w:end="0"/>
        <w:rPr>
          <w:sz w:val="22"/>
        </w:rPr>
      </w:pPr>
      <w:r>
        <w:rPr>
          <w:sz w:val="22"/>
        </w:rPr>
      </w:r>
    </w:p>
    <w:p>
      <w:pPr>
        <w:pStyle w:val="Normal"/>
        <w:tabs>
          <w:tab w:val="left" w:pos="720" w:leader="none"/>
          <w:tab w:val="left" w:pos="1080" w:leader="none"/>
          <w:tab w:val="left" w:pos="1440" w:leader="none"/>
        </w:tabs>
        <w:ind w:hanging="1440" w:start="1440" w:end="0"/>
        <w:rPr>
          <w:sz w:val="22"/>
        </w:rPr>
      </w:pPr>
      <w:r>
        <w:rPr>
          <w:sz w:val="22"/>
        </w:rPr>
        <w:tab/>
        <w:tab/>
        <w:t>3)</w:t>
        <w:tab/>
        <w:t>The mission to “deepen the bench and widen the circle” of civic leadership is well launched: By early November there will be 73 graduates of the Business-Civic Leadership Forums, comprising approximately 27% Black, 25% Hispanic, 8% Asian, 25% Female (some overlap).</w:t>
      </w:r>
    </w:p>
    <w:p>
      <w:pPr>
        <w:pStyle w:val="Normal"/>
        <w:tabs>
          <w:tab w:val="left" w:pos="720" w:leader="none"/>
          <w:tab w:val="left" w:pos="1080" w:leader="none"/>
          <w:tab w:val="left" w:pos="1440" w:leader="none"/>
        </w:tabs>
        <w:ind w:hanging="1440" w:start="1440" w:end="0"/>
        <w:rPr>
          <w:sz w:val="22"/>
        </w:rPr>
      </w:pPr>
      <w:r>
        <w:rPr>
          <w:sz w:val="22"/>
        </w:rPr>
      </w:r>
    </w:p>
    <w:p>
      <w:pPr>
        <w:pStyle w:val="Normal"/>
        <w:tabs>
          <w:tab w:val="left" w:pos="720" w:leader="none"/>
          <w:tab w:val="left" w:pos="1080" w:leader="none"/>
          <w:tab w:val="left" w:pos="1440" w:leader="none"/>
        </w:tabs>
        <w:ind w:hanging="1440" w:start="1440" w:end="0"/>
        <w:rPr>
          <w:sz w:val="22"/>
        </w:rPr>
      </w:pPr>
      <w:r>
        <w:rPr>
          <w:sz w:val="22"/>
        </w:rPr>
        <w:tab/>
        <w:t>B.</w:t>
        <w:tab/>
        <w:t>Strategic Planning for the Houston Region</w:t>
      </w:r>
    </w:p>
    <w:p>
      <w:pPr>
        <w:pStyle w:val="Normal"/>
        <w:tabs>
          <w:tab w:val="left" w:pos="720" w:leader="none"/>
          <w:tab w:val="left" w:pos="1080" w:leader="none"/>
          <w:tab w:val="left" w:pos="1440" w:leader="none"/>
        </w:tabs>
        <w:ind w:hanging="1440" w:start="1440" w:end="0"/>
        <w:rPr>
          <w:sz w:val="22"/>
        </w:rPr>
      </w:pPr>
      <w:r>
        <w:rPr>
          <w:sz w:val="22"/>
        </w:rPr>
      </w:r>
    </w:p>
    <w:p>
      <w:pPr>
        <w:pStyle w:val="Normal"/>
        <w:tabs>
          <w:tab w:val="left" w:pos="720" w:leader="none"/>
          <w:tab w:val="left" w:pos="1080" w:leader="none"/>
        </w:tabs>
        <w:ind w:hanging="1440" w:start="1080" w:end="0"/>
        <w:rPr>
          <w:sz w:val="22"/>
        </w:rPr>
      </w:pPr>
      <w:r>
        <w:rPr>
          <w:sz w:val="22"/>
        </w:rPr>
        <w:tab/>
        <w:tab/>
        <w:t>Programmed in two-year cycles, the work plan calls for the launching of strategic plans in Human Capital (Education and Social Services) and Quality of Place in 2001 with the launching of two additional major areas in 2002.</w:t>
      </w:r>
    </w:p>
    <w:p>
      <w:pPr>
        <w:pStyle w:val="Normal"/>
        <w:tabs>
          <w:tab w:val="left" w:pos="720" w:leader="none"/>
          <w:tab w:val="left" w:pos="1080" w:leader="none"/>
        </w:tabs>
        <w:ind w:hanging="1440" w:start="1080" w:end="0"/>
        <w:rPr>
          <w:sz w:val="22"/>
        </w:rPr>
      </w:pPr>
      <w:r>
        <w:rPr>
          <w:sz w:val="22"/>
        </w:rPr>
      </w:r>
    </w:p>
    <w:p>
      <w:pPr>
        <w:pStyle w:val="Normal"/>
        <w:tabs>
          <w:tab w:val="left" w:pos="720" w:leader="none"/>
          <w:tab w:val="left" w:pos="1080" w:leader="none"/>
        </w:tabs>
        <w:ind w:hanging="1440" w:start="1440" w:end="0"/>
        <w:rPr>
          <w:sz w:val="22"/>
        </w:rPr>
      </w:pPr>
      <w:r>
        <w:rPr>
          <w:sz w:val="22"/>
        </w:rPr>
        <w:tab/>
        <w:tab/>
        <w:t>1)</w:t>
        <w:tab/>
        <w:t>Established and approved by the Education Steering Committee, a policy paper articulates the Committee’s finding.  The report explicitly establishes four areas of maximum strategic leverage to be developed and implemented by The Center.  The first priority, Technology and Education, has already resulted in active implementation by HISD.  (Exhibit 7 – Education Committee Policy Paper; Exhibit 8 – Education Committee Membership; Exhibit 9 – HISD Presentation to the Education Committee entitled “Transforming Teaching Through Technology.”)</w:t>
      </w:r>
    </w:p>
    <w:p>
      <w:pPr>
        <w:pStyle w:val="Normal"/>
        <w:tabs>
          <w:tab w:val="left" w:pos="720" w:leader="none"/>
          <w:tab w:val="left" w:pos="1080" w:leader="none"/>
        </w:tabs>
        <w:ind w:hanging="1440" w:start="1440" w:end="0"/>
        <w:rPr>
          <w:sz w:val="22"/>
        </w:rPr>
      </w:pPr>
      <w:r>
        <w:rPr>
          <w:sz w:val="22"/>
        </w:rPr>
      </w:r>
    </w:p>
    <w:p>
      <w:pPr>
        <w:pStyle w:val="Normal"/>
        <w:tabs>
          <w:tab w:val="left" w:pos="720" w:leader="none"/>
          <w:tab w:val="left" w:pos="1080" w:leader="none"/>
        </w:tabs>
        <w:ind w:hanging="1440" w:start="1440" w:end="0"/>
        <w:rPr>
          <w:sz w:val="22"/>
        </w:rPr>
      </w:pPr>
      <w:r>
        <w:rPr>
          <w:sz w:val="22"/>
        </w:rPr>
        <w:tab/>
        <w:tab/>
        <w:t>2)</w:t>
        <w:tab/>
        <w:t>Established general focus for the Social Services effort.  Working group is striving to better define the term Social Services and is focused on finding mechanisms to improve the coordination of social services in the region.  Extensive research indicated this is the primary need.  (Exhibit 10 – Social Services Working Group membership)</w:t>
      </w:r>
    </w:p>
    <w:p>
      <w:pPr>
        <w:pStyle w:val="Normal"/>
        <w:tabs>
          <w:tab w:val="left" w:pos="720" w:leader="none"/>
          <w:tab w:val="left" w:pos="1080" w:leader="none"/>
        </w:tabs>
        <w:ind w:hanging="1440" w:start="1440" w:end="0"/>
        <w:rPr>
          <w:sz w:val="22"/>
        </w:rPr>
      </w:pPr>
      <w:r>
        <w:rPr>
          <w:sz w:val="22"/>
        </w:rPr>
      </w:r>
    </w:p>
    <w:p>
      <w:pPr>
        <w:pStyle w:val="Normal"/>
        <w:tabs>
          <w:tab w:val="left" w:pos="720" w:leader="none"/>
          <w:tab w:val="left" w:pos="1080" w:leader="none"/>
        </w:tabs>
        <w:ind w:hanging="1440" w:start="1440" w:end="0"/>
        <w:rPr>
          <w:sz w:val="22"/>
        </w:rPr>
      </w:pPr>
      <w:r>
        <w:rPr>
          <w:sz w:val="22"/>
        </w:rPr>
        <w:tab/>
        <w:tab/>
        <w:t>3)</w:t>
        <w:tab/>
        <w:t>Established the Quality of Place Committee.  This group has begun preliminary work and is in the process of establishing priorities.  (Exhibit 11 – Committee membership)   The “Livable City” scenario developed in The Center’s Business-Civic Leadership Workshops in 2000 was a major impetus to creation of the Partnership’s Quality of Life Advisory Committee and the Quality of Life Coalition and The Center is focused on the long-term aspects of that work.</w:t>
      </w:r>
    </w:p>
    <w:p>
      <w:pPr>
        <w:pStyle w:val="Normal"/>
        <w:tabs>
          <w:tab w:val="left" w:pos="720" w:leader="none"/>
          <w:tab w:val="left" w:pos="1080" w:leader="none"/>
        </w:tabs>
        <w:ind w:hanging="1440" w:start="1440" w:end="0"/>
        <w:rPr>
          <w:sz w:val="22"/>
        </w:rPr>
      </w:pPr>
      <w:r>
        <w:rPr>
          <w:sz w:val="22"/>
        </w:rPr>
      </w:r>
    </w:p>
    <w:p>
      <w:pPr>
        <w:pStyle w:val="Normal"/>
        <w:tabs>
          <w:tab w:val="left" w:pos="720" w:leader="none"/>
          <w:tab w:val="left" w:pos="1080" w:leader="none"/>
        </w:tabs>
        <w:ind w:hanging="1440" w:start="1440" w:end="0"/>
        <w:rPr>
          <w:sz w:val="22"/>
        </w:rPr>
      </w:pPr>
      <w:r>
        <w:rPr>
          <w:sz w:val="22"/>
        </w:rPr>
        <w:tab/>
        <w:t>C.</w:t>
        <w:tab/>
        <w:t>Community Future Awareness</w:t>
      </w:r>
    </w:p>
    <w:p>
      <w:pPr>
        <w:pStyle w:val="Normal"/>
        <w:tabs>
          <w:tab w:val="left" w:pos="720" w:leader="none"/>
          <w:tab w:val="left" w:pos="1080" w:leader="none"/>
        </w:tabs>
        <w:ind w:hanging="1440" w:start="1440" w:end="0"/>
        <w:rPr>
          <w:sz w:val="22"/>
        </w:rPr>
      </w:pPr>
      <w:r>
        <w:rPr>
          <w:sz w:val="22"/>
        </w:rPr>
      </w:r>
    </w:p>
    <w:p>
      <w:pPr>
        <w:pStyle w:val="Normal"/>
        <w:tabs>
          <w:tab w:val="left" w:pos="720" w:leader="none"/>
          <w:tab w:val="left" w:pos="1080" w:leader="none"/>
        </w:tabs>
        <w:ind w:hanging="1440" w:start="1440" w:end="0"/>
        <w:rPr/>
      </w:pPr>
      <w:r>
        <w:rPr>
          <w:sz w:val="22"/>
        </w:rPr>
        <w:tab/>
        <w:tab/>
        <w:t>1)</w:t>
        <w:tab/>
        <w:t xml:space="preserve">Excellent media exposure to The Center and focus on the future includes: front page article in the Partnership's monthly newsletter </w:t>
      </w:r>
      <w:r>
        <w:rPr>
          <w:i/>
          <w:sz w:val="22"/>
        </w:rPr>
        <w:t xml:space="preserve">At Work </w:t>
      </w:r>
      <w:r>
        <w:rPr>
          <w:iCs/>
          <w:sz w:val="22"/>
        </w:rPr>
        <w:t>(circulation 12,000);</w:t>
      </w:r>
      <w:r>
        <w:rPr>
          <w:sz w:val="22"/>
        </w:rPr>
        <w:t xml:space="preserve"> op-ed piece in the </w:t>
      </w:r>
      <w:r>
        <w:rPr>
          <w:i/>
          <w:iCs/>
          <w:sz w:val="22"/>
        </w:rPr>
        <w:t>Houston C</w:t>
      </w:r>
      <w:r>
        <w:rPr>
          <w:i/>
          <w:sz w:val="22"/>
        </w:rPr>
        <w:t>hronicle</w:t>
      </w:r>
      <w:r>
        <w:rPr>
          <w:sz w:val="22"/>
        </w:rPr>
        <w:t xml:space="preserve">; and a major article on The Center and its goals in the </w:t>
      </w:r>
      <w:r>
        <w:rPr>
          <w:i/>
          <w:iCs/>
          <w:sz w:val="22"/>
        </w:rPr>
        <w:t xml:space="preserve">Houston </w:t>
      </w:r>
      <w:r>
        <w:rPr>
          <w:i/>
          <w:sz w:val="22"/>
        </w:rPr>
        <w:t xml:space="preserve">Chronicle </w:t>
      </w:r>
      <w:r>
        <w:rPr>
          <w:iCs/>
          <w:sz w:val="22"/>
        </w:rPr>
        <w:t>Metropolitan section</w:t>
      </w:r>
      <w:r>
        <w:rPr>
          <w:sz w:val="22"/>
        </w:rPr>
        <w:t xml:space="preserve">.  (Exhibit 12 – reprints of articles)   Ground is laid for meeting with Editorial Board of the </w:t>
      </w:r>
      <w:r>
        <w:rPr>
          <w:i/>
          <w:iCs/>
          <w:sz w:val="22"/>
        </w:rPr>
        <w:t>Houston</w:t>
      </w:r>
      <w:r>
        <w:rPr>
          <w:sz w:val="22"/>
        </w:rPr>
        <w:t xml:space="preserve"> </w:t>
      </w:r>
      <w:r>
        <w:rPr>
          <w:i/>
          <w:sz w:val="22"/>
        </w:rPr>
        <w:t>Chronicle</w:t>
      </w:r>
      <w:r>
        <w:rPr>
          <w:sz w:val="22"/>
        </w:rPr>
        <w:t>.  The editor in charge of the editorial page is a participant in The Center's Fall 2001 Business-Civic Leadership Forum.</w:t>
      </w:r>
    </w:p>
    <w:p>
      <w:pPr>
        <w:pStyle w:val="Normal"/>
        <w:tabs>
          <w:tab w:val="left" w:pos="720" w:leader="none"/>
          <w:tab w:val="left" w:pos="1080" w:leader="none"/>
        </w:tabs>
        <w:ind w:hanging="1440" w:start="1440" w:end="0"/>
        <w:rPr>
          <w:sz w:val="22"/>
        </w:rPr>
      </w:pPr>
      <w:r>
        <w:rPr>
          <w:sz w:val="22"/>
        </w:rPr>
      </w:r>
    </w:p>
    <w:p>
      <w:pPr>
        <w:pStyle w:val="Normal"/>
        <w:tabs>
          <w:tab w:val="left" w:pos="720" w:leader="none"/>
          <w:tab w:val="left" w:pos="1080" w:leader="none"/>
        </w:tabs>
        <w:ind w:hanging="1440" w:start="1440" w:end="0"/>
        <w:rPr>
          <w:sz w:val="22"/>
        </w:rPr>
      </w:pPr>
      <w:r>
        <w:rPr>
          <w:sz w:val="22"/>
        </w:rPr>
        <w:tab/>
        <w:tab/>
        <w:t>2)</w:t>
        <w:tab/>
        <w:t>Presented Center for Houston’s Future and goals at eight key business/civic functions through The Center’s Speakers’ Bureau, raising visibility of the group to over 530 attendees.  (Exhibit 13 – Speakers’ Bureau commitment table)   Each presentation received with high interest and enthusiasm.</w:t>
      </w:r>
    </w:p>
    <w:p>
      <w:pPr>
        <w:pStyle w:val="Normal"/>
        <w:tabs>
          <w:tab w:val="left" w:pos="720" w:leader="none"/>
          <w:tab w:val="left" w:pos="1080" w:leader="none"/>
        </w:tabs>
        <w:ind w:hanging="1440" w:start="1440" w:end="0"/>
        <w:rPr>
          <w:sz w:val="22"/>
        </w:rPr>
      </w:pPr>
      <w:r>
        <w:rPr>
          <w:sz w:val="22"/>
        </w:rPr>
      </w:r>
    </w:p>
    <w:p>
      <w:pPr>
        <w:pStyle w:val="Normal"/>
        <w:tabs>
          <w:tab w:val="left" w:pos="720" w:leader="none"/>
          <w:tab w:val="left" w:pos="1080" w:leader="none"/>
        </w:tabs>
        <w:ind w:hanging="1440" w:start="1440" w:end="0"/>
        <w:rPr>
          <w:sz w:val="22"/>
        </w:rPr>
      </w:pPr>
      <w:r>
        <w:rPr>
          <w:sz w:val="22"/>
        </w:rPr>
        <w:tab/>
        <w:tab/>
        <w:t>3)</w:t>
        <w:tab/>
        <w:t>Successfully co-sponsored three business events with Gulf Coast Institute, JPMorgan Chase and The Houston Club, with the target of raising the visibility of The Center and awareness of Houston’s future to the events’ 750 attendees.  (Exhibit 14– The Center event table)</w:t>
      </w:r>
    </w:p>
    <w:p>
      <w:pPr>
        <w:pStyle w:val="Normal"/>
        <w:tabs>
          <w:tab w:val="left" w:pos="720" w:leader="none"/>
          <w:tab w:val="left" w:pos="1080" w:leader="none"/>
        </w:tabs>
        <w:ind w:hanging="1440" w:start="1440" w:end="0"/>
        <w:rPr>
          <w:sz w:val="22"/>
        </w:rPr>
      </w:pPr>
      <w:r>
        <w:rPr>
          <w:sz w:val="22"/>
        </w:rPr>
      </w:r>
    </w:p>
    <w:p>
      <w:pPr>
        <w:pStyle w:val="Normal"/>
        <w:tabs>
          <w:tab w:val="left" w:pos="720" w:leader="none"/>
          <w:tab w:val="left" w:pos="1080" w:leader="none"/>
        </w:tabs>
        <w:ind w:hanging="1440" w:start="1440" w:end="0"/>
        <w:rPr>
          <w:sz w:val="22"/>
        </w:rPr>
      </w:pPr>
      <w:r>
        <w:rPr>
          <w:sz w:val="22"/>
        </w:rPr>
        <w:t>II.</w:t>
        <w:tab/>
      </w:r>
      <w:r>
        <w:rPr>
          <w:sz w:val="22"/>
          <w:u w:val="single"/>
        </w:rPr>
        <w:t>People</w:t>
      </w:r>
    </w:p>
    <w:p>
      <w:pPr>
        <w:pStyle w:val="Normal"/>
        <w:tabs>
          <w:tab w:val="left" w:pos="720" w:leader="none"/>
          <w:tab w:val="left" w:pos="1080" w:leader="none"/>
        </w:tabs>
        <w:ind w:hanging="1440" w:start="1440" w:end="0"/>
        <w:rPr>
          <w:sz w:val="22"/>
        </w:rPr>
      </w:pPr>
      <w:r>
        <w:rPr>
          <w:sz w:val="22"/>
        </w:rPr>
      </w:r>
    </w:p>
    <w:p>
      <w:pPr>
        <w:pStyle w:val="Normal"/>
        <w:tabs>
          <w:tab w:val="left" w:pos="720" w:leader="none"/>
          <w:tab w:val="left" w:pos="1080" w:leader="none"/>
        </w:tabs>
        <w:ind w:hanging="1440" w:start="2160" w:end="0"/>
        <w:rPr>
          <w:sz w:val="22"/>
        </w:rPr>
      </w:pPr>
      <w:r>
        <w:rPr>
          <w:sz w:val="22"/>
        </w:rPr>
        <w:t>A.</w:t>
        <w:tab/>
        <w:t>Selecting and empowering representative senior leadership from the business</w:t>
      </w:r>
    </w:p>
    <w:p>
      <w:pPr>
        <w:pStyle w:val="Normal"/>
        <w:tabs>
          <w:tab w:val="left" w:pos="720" w:leader="none"/>
          <w:tab w:val="left" w:pos="1080" w:leader="none"/>
        </w:tabs>
        <w:ind w:hanging="1440" w:start="2160" w:end="0"/>
        <w:rPr>
          <w:sz w:val="22"/>
        </w:rPr>
      </w:pPr>
      <w:r>
        <w:rPr>
          <w:sz w:val="22"/>
        </w:rPr>
        <w:tab/>
        <w:t>community and selection of a strong Board and full-time leadership and staff have</w:t>
      </w:r>
    </w:p>
    <w:p>
      <w:pPr>
        <w:pStyle w:val="Normal"/>
        <w:tabs>
          <w:tab w:val="left" w:pos="720" w:leader="none"/>
          <w:tab w:val="left" w:pos="1080" w:leader="none"/>
        </w:tabs>
        <w:ind w:hanging="1440" w:start="2160" w:end="0"/>
        <w:rPr>
          <w:sz w:val="22"/>
        </w:rPr>
      </w:pPr>
      <w:r>
        <w:rPr>
          <w:sz w:val="22"/>
        </w:rPr>
        <w:tab/>
        <w:t>been vital achievements.</w:t>
      </w:r>
    </w:p>
    <w:p>
      <w:pPr>
        <w:pStyle w:val="Normal"/>
        <w:tabs>
          <w:tab w:val="left" w:pos="720" w:leader="none"/>
          <w:tab w:val="left" w:pos="1080" w:leader="none"/>
        </w:tabs>
        <w:ind w:start="1440" w:end="0"/>
        <w:rPr>
          <w:sz w:val="22"/>
        </w:rPr>
      </w:pPr>
      <w:r>
        <w:rPr>
          <w:sz w:val="22"/>
        </w:rPr>
      </w:r>
    </w:p>
    <w:p>
      <w:pPr>
        <w:pStyle w:val="Normal"/>
        <w:tabs>
          <w:tab w:val="left" w:pos="720" w:leader="none"/>
          <w:tab w:val="left" w:pos="1080" w:leader="none"/>
        </w:tabs>
        <w:rPr>
          <w:sz w:val="22"/>
        </w:rPr>
      </w:pPr>
      <w:r>
        <w:rPr>
          <w:sz w:val="22"/>
        </w:rPr>
        <w:tab/>
        <w:tab/>
        <w:t>1)</w:t>
        <w:tab/>
        <w:t>Substantial attention and concern has been paid to this matter.  The Center’s</w:t>
      </w:r>
    </w:p>
    <w:p>
      <w:pPr>
        <w:pStyle w:val="Normal"/>
        <w:tabs>
          <w:tab w:val="left" w:pos="720" w:leader="none"/>
          <w:tab w:val="left" w:pos="1080" w:leader="none"/>
        </w:tabs>
        <w:rPr>
          <w:sz w:val="22"/>
        </w:rPr>
      </w:pPr>
      <w:r>
        <w:rPr>
          <w:sz w:val="22"/>
        </w:rPr>
        <w:tab/>
        <w:tab/>
        <w:tab/>
        <w:t>Board was structured with significant women and minority participation.  The</w:t>
      </w:r>
    </w:p>
    <w:p>
      <w:pPr>
        <w:pStyle w:val="Normal"/>
        <w:tabs>
          <w:tab w:val="left" w:pos="720" w:leader="none"/>
          <w:tab w:val="left" w:pos="1080" w:leader="none"/>
        </w:tabs>
        <w:ind w:start="1440" w:end="0"/>
        <w:rPr>
          <w:sz w:val="22"/>
        </w:rPr>
      </w:pPr>
      <w:r>
        <w:rPr>
          <w:sz w:val="22"/>
        </w:rPr>
        <w:t>Steering Committee structure includes a representative membership.  More such leaders are critical to advancing The Center’s mission.  The Committee structure includes minorities and women at the leadership level as well as in membership. Substantial outreach has occurred in the recruitment of women and minorities for participation in the Business-Civic Leadership Forums, which will be the source for future leadership of The Center’s activities.</w:t>
      </w:r>
    </w:p>
    <w:p>
      <w:pPr>
        <w:pStyle w:val="Normal"/>
        <w:tabs>
          <w:tab w:val="left" w:pos="720" w:leader="none"/>
          <w:tab w:val="left" w:pos="1080" w:leader="none"/>
        </w:tabs>
        <w:rPr>
          <w:sz w:val="22"/>
        </w:rPr>
      </w:pPr>
      <w:r>
        <w:rPr>
          <w:sz w:val="22"/>
        </w:rPr>
      </w:r>
    </w:p>
    <w:p>
      <w:pPr>
        <w:pStyle w:val="Normal"/>
        <w:tabs>
          <w:tab w:val="left" w:pos="720" w:leader="none"/>
          <w:tab w:val="left" w:pos="1080" w:leader="none"/>
        </w:tabs>
        <w:ind w:hanging="1440" w:start="1440" w:end="0"/>
        <w:rPr>
          <w:sz w:val="22"/>
        </w:rPr>
      </w:pPr>
      <w:r>
        <w:rPr>
          <w:sz w:val="22"/>
        </w:rPr>
        <w:tab/>
        <w:tab/>
        <w:t>2)</w:t>
        <w:tab/>
        <w:t>In April, expanded the Board from 16 to 24, plus ex-officio members, adding strength through expertise, diversity and exposure.</w:t>
      </w:r>
    </w:p>
    <w:p>
      <w:pPr>
        <w:pStyle w:val="Normal"/>
        <w:tabs>
          <w:tab w:val="left" w:pos="720" w:leader="none"/>
          <w:tab w:val="left" w:pos="1080" w:leader="none"/>
        </w:tabs>
        <w:rPr>
          <w:sz w:val="22"/>
        </w:rPr>
      </w:pPr>
      <w:r>
        <w:rPr>
          <w:sz w:val="22"/>
        </w:rPr>
      </w:r>
    </w:p>
    <w:p>
      <w:pPr>
        <w:pStyle w:val="Normal"/>
        <w:tabs>
          <w:tab w:val="left" w:pos="720" w:leader="none"/>
          <w:tab w:val="left" w:pos="1080" w:leader="none"/>
        </w:tabs>
        <w:rPr>
          <w:sz w:val="22"/>
        </w:rPr>
      </w:pPr>
      <w:r>
        <w:rPr>
          <w:sz w:val="22"/>
        </w:rPr>
        <w:tab/>
        <w:tab/>
        <w:t>3)</w:t>
        <w:tab/>
        <w:t>Hired initial professional staff in May.  (Exhibit 15  – M. Schopper resume)</w:t>
      </w:r>
    </w:p>
    <w:p>
      <w:pPr>
        <w:pStyle w:val="Normal"/>
        <w:tabs>
          <w:tab w:val="left" w:pos="720" w:leader="none"/>
          <w:tab w:val="left" w:pos="1080" w:leader="none"/>
        </w:tabs>
        <w:rPr>
          <w:sz w:val="22"/>
        </w:rPr>
      </w:pPr>
      <w:r>
        <w:rPr>
          <w:sz w:val="22"/>
        </w:rPr>
      </w:r>
    </w:p>
    <w:p>
      <w:pPr>
        <w:pStyle w:val="Normal"/>
        <w:tabs>
          <w:tab w:val="left" w:pos="720" w:leader="none"/>
          <w:tab w:val="left" w:pos="1080" w:leader="none"/>
        </w:tabs>
        <w:rPr>
          <w:sz w:val="22"/>
        </w:rPr>
      </w:pPr>
      <w:r>
        <w:rPr>
          <w:sz w:val="22"/>
        </w:rPr>
        <w:tab/>
        <w:tab/>
        <w:t>4)</w:t>
        <w:tab/>
        <w:t>Launched search for full-time President and CEO, to be in place by November,</w:t>
      </w:r>
    </w:p>
    <w:p>
      <w:pPr>
        <w:pStyle w:val="Normal"/>
        <w:tabs>
          <w:tab w:val="left" w:pos="720" w:leader="none"/>
          <w:tab w:val="left" w:pos="1080" w:leader="none"/>
        </w:tabs>
        <w:rPr>
          <w:sz w:val="22"/>
        </w:rPr>
      </w:pPr>
      <w:r>
        <w:rPr>
          <w:sz w:val="22"/>
        </w:rPr>
        <w:tab/>
        <w:tab/>
        <w:tab/>
        <w:t>replacing the volunteer Executive Group.  The positive impact of an outstanding</w:t>
      </w:r>
    </w:p>
    <w:p>
      <w:pPr>
        <w:pStyle w:val="Normal"/>
        <w:tabs>
          <w:tab w:val="left" w:pos="720" w:leader="none"/>
          <w:tab w:val="left" w:pos="1080" w:leader="none"/>
        </w:tabs>
        <w:rPr>
          <w:sz w:val="22"/>
        </w:rPr>
      </w:pPr>
      <w:r>
        <w:rPr>
          <w:sz w:val="22"/>
        </w:rPr>
        <w:tab/>
        <w:tab/>
        <w:tab/>
        <w:t>full-time executive is major in terms of the magnitude and acceleration of what</w:t>
      </w:r>
    </w:p>
    <w:p>
      <w:pPr>
        <w:pStyle w:val="Normal"/>
        <w:tabs>
          <w:tab w:val="left" w:pos="720" w:leader="none"/>
          <w:tab w:val="left" w:pos="1080" w:leader="none"/>
        </w:tabs>
        <w:rPr>
          <w:sz w:val="22"/>
        </w:rPr>
      </w:pPr>
      <w:r>
        <w:rPr>
          <w:sz w:val="22"/>
        </w:rPr>
        <w:tab/>
        <w:tab/>
        <w:tab/>
        <w:t>can be accomplished.</w:t>
      </w:r>
    </w:p>
    <w:p>
      <w:pPr>
        <w:pStyle w:val="Normal"/>
        <w:tabs>
          <w:tab w:val="left" w:pos="720" w:leader="none"/>
          <w:tab w:val="left" w:pos="1080" w:leader="none"/>
        </w:tabs>
        <w:rPr>
          <w:sz w:val="22"/>
        </w:rPr>
      </w:pPr>
      <w:r>
        <w:rPr>
          <w:sz w:val="22"/>
        </w:rPr>
      </w:r>
    </w:p>
    <w:p>
      <w:pPr>
        <w:pStyle w:val="Normal"/>
        <w:tabs>
          <w:tab w:val="left" w:pos="720" w:leader="none"/>
          <w:tab w:val="left" w:pos="1080" w:leader="none"/>
        </w:tabs>
        <w:rPr>
          <w:sz w:val="22"/>
        </w:rPr>
      </w:pPr>
      <w:r>
        <w:rPr>
          <w:sz w:val="22"/>
        </w:rPr>
        <w:t>III.</w:t>
        <w:tab/>
      </w:r>
      <w:r>
        <w:rPr>
          <w:sz w:val="22"/>
          <w:u w:val="single"/>
        </w:rPr>
        <w:t>Structure</w:t>
      </w:r>
    </w:p>
    <w:p>
      <w:pPr>
        <w:pStyle w:val="Normal"/>
        <w:tabs>
          <w:tab w:val="left" w:pos="720" w:leader="none"/>
          <w:tab w:val="left" w:pos="1080" w:leader="none"/>
          <w:tab w:val="left" w:pos="1440" w:leader="none"/>
        </w:tabs>
        <w:rPr>
          <w:sz w:val="22"/>
        </w:rPr>
      </w:pPr>
      <w:r>
        <w:rPr>
          <w:sz w:val="22"/>
        </w:rPr>
      </w:r>
    </w:p>
    <w:p>
      <w:pPr>
        <w:pStyle w:val="Normal"/>
        <w:tabs>
          <w:tab w:val="left" w:pos="720" w:leader="none"/>
          <w:tab w:val="left" w:pos="1080" w:leader="none"/>
        </w:tabs>
        <w:ind w:hanging="1080" w:start="1080" w:end="0"/>
        <w:rPr>
          <w:sz w:val="22"/>
        </w:rPr>
      </w:pPr>
      <w:r>
        <w:rPr>
          <w:sz w:val="22"/>
        </w:rPr>
        <w:tab/>
        <w:t>A.</w:t>
        <w:tab/>
        <w:t>The Major Programs and Work Plans, approved by the Board in October 2000 and April 2001 respectively, established the basic organizational structure of The Center.  Major enhancements are being made to structure this year as The Center grows from a volunteer-run startup with scant resources to a more complex organization with multiple missions, full time leader and a substantial budget.</w:t>
      </w:r>
    </w:p>
    <w:p>
      <w:pPr>
        <w:pStyle w:val="Normal"/>
        <w:tabs>
          <w:tab w:val="left" w:pos="720" w:leader="none"/>
          <w:tab w:val="left" w:pos="1080" w:leader="none"/>
          <w:tab w:val="left" w:pos="1440" w:leader="none"/>
        </w:tabs>
        <w:rPr>
          <w:sz w:val="22"/>
        </w:rPr>
      </w:pPr>
      <w:r>
        <w:rPr>
          <w:sz w:val="22"/>
        </w:rPr>
      </w:r>
    </w:p>
    <w:p>
      <w:pPr>
        <w:pStyle w:val="Normal"/>
        <w:tabs>
          <w:tab w:val="left" w:pos="720" w:leader="none"/>
          <w:tab w:val="left" w:pos="1080" w:leader="none"/>
          <w:tab w:val="left" w:pos="1440" w:leader="none"/>
        </w:tabs>
        <w:ind w:hanging="1440" w:start="1440" w:end="0"/>
        <w:rPr>
          <w:sz w:val="22"/>
        </w:rPr>
      </w:pPr>
      <w:r>
        <w:rPr>
          <w:sz w:val="22"/>
        </w:rPr>
        <w:tab/>
        <w:tab/>
        <w:t>1)</w:t>
        <w:tab/>
        <w:t>Completed of a Memorandum of Understanding with the Partnership, thus creating relationship guidelines for Partnership / Center operations. (Exhibit 16 – Memorandum of Understanding)</w:t>
      </w:r>
    </w:p>
    <w:p>
      <w:pPr>
        <w:pStyle w:val="Normal"/>
        <w:tabs>
          <w:tab w:val="left" w:pos="720" w:leader="none"/>
          <w:tab w:val="left" w:pos="1080" w:leader="none"/>
        </w:tabs>
        <w:rPr>
          <w:sz w:val="22"/>
        </w:rPr>
      </w:pPr>
      <w:r>
        <w:rPr>
          <w:sz w:val="22"/>
        </w:rPr>
      </w:r>
    </w:p>
    <w:p>
      <w:pPr>
        <w:pStyle w:val="Normal"/>
        <w:tabs>
          <w:tab w:val="left" w:pos="720" w:leader="none"/>
          <w:tab w:val="left" w:pos="1080" w:leader="none"/>
          <w:tab w:val="left" w:pos="1440" w:leader="none"/>
        </w:tabs>
        <w:ind w:hanging="1440" w:start="1440" w:end="0"/>
        <w:rPr>
          <w:sz w:val="22"/>
        </w:rPr>
      </w:pPr>
      <w:r>
        <w:rPr>
          <w:sz w:val="22"/>
        </w:rPr>
        <w:tab/>
        <w:tab/>
        <w:t>2)</w:t>
        <w:tab/>
        <w:t>Established Rufus Cormier committee to develop systems and processes for The Center operations.  (Exhibit 17 – Committee Statement of Purpose and Preliminary Findings)</w:t>
      </w:r>
    </w:p>
    <w:p>
      <w:pPr>
        <w:pStyle w:val="Normal"/>
        <w:tabs>
          <w:tab w:val="left" w:pos="720" w:leader="none"/>
          <w:tab w:val="left" w:pos="1080" w:leader="none"/>
        </w:tabs>
        <w:rPr>
          <w:sz w:val="22"/>
        </w:rPr>
      </w:pPr>
      <w:r>
        <w:rPr>
          <w:sz w:val="22"/>
        </w:rPr>
      </w:r>
    </w:p>
    <w:p>
      <w:pPr>
        <w:pStyle w:val="Normal"/>
        <w:tabs>
          <w:tab w:val="left" w:pos="720" w:leader="none"/>
          <w:tab w:val="left" w:pos="1080" w:leader="none"/>
          <w:tab w:val="left" w:pos="1440" w:leader="none"/>
        </w:tabs>
        <w:ind w:hanging="1440" w:start="1440" w:end="0"/>
        <w:rPr>
          <w:sz w:val="22"/>
        </w:rPr>
      </w:pPr>
      <w:r>
        <w:rPr>
          <w:sz w:val="22"/>
        </w:rPr>
        <w:tab/>
        <w:tab/>
        <w:t>3)</w:t>
        <w:tab/>
        <w:t xml:space="preserve">Received major commitment of volunteers in the management of overall efforts of The Center and the leadership of Committee activities.  </w:t>
      </w:r>
    </w:p>
    <w:p>
      <w:pPr>
        <w:pStyle w:val="Normal"/>
        <w:tabs>
          <w:tab w:val="left" w:pos="720" w:leader="none"/>
          <w:tab w:val="left" w:pos="1080" w:leader="none"/>
        </w:tabs>
        <w:rPr>
          <w:sz w:val="22"/>
        </w:rPr>
      </w:pPr>
      <w:r>
        <w:rPr>
          <w:sz w:val="22"/>
        </w:rPr>
      </w:r>
    </w:p>
    <w:p>
      <w:pPr>
        <w:pStyle w:val="Normal"/>
        <w:tabs>
          <w:tab w:val="left" w:pos="720" w:leader="none"/>
          <w:tab w:val="left" w:pos="1080" w:leader="none"/>
        </w:tabs>
        <w:rPr>
          <w:sz w:val="22"/>
        </w:rPr>
      </w:pPr>
      <w:r>
        <w:rPr>
          <w:sz w:val="22"/>
        </w:rPr>
        <w:t>IV.</w:t>
        <w:tab/>
      </w:r>
      <w:r>
        <w:rPr>
          <w:sz w:val="22"/>
          <w:u w:val="single"/>
        </w:rPr>
        <w:t>Financial Resources</w:t>
      </w:r>
    </w:p>
    <w:p>
      <w:pPr>
        <w:pStyle w:val="Normal"/>
        <w:tabs>
          <w:tab w:val="left" w:pos="720" w:leader="none"/>
          <w:tab w:val="left" w:pos="1080" w:leader="none"/>
        </w:tabs>
        <w:rPr>
          <w:sz w:val="22"/>
        </w:rPr>
      </w:pPr>
      <w:r>
        <w:rPr>
          <w:sz w:val="22"/>
        </w:rPr>
      </w:r>
    </w:p>
    <w:p>
      <w:pPr>
        <w:pStyle w:val="Normal"/>
        <w:tabs>
          <w:tab w:val="left" w:pos="720" w:leader="none"/>
          <w:tab w:val="left" w:pos="1080" w:leader="none"/>
        </w:tabs>
        <w:ind w:hanging="1080" w:start="720" w:end="0"/>
        <w:rPr>
          <w:sz w:val="22"/>
        </w:rPr>
      </w:pPr>
      <w:r>
        <w:rPr>
          <w:sz w:val="22"/>
        </w:rPr>
        <w:tab/>
        <w:t>To accomplish the long-term mission of The Center it is essential that it traverse from dependency on volunteers and the support of the Partnership to substantial, stable independent sources of funding.</w:t>
      </w:r>
    </w:p>
    <w:p>
      <w:pPr>
        <w:pStyle w:val="Normal"/>
        <w:tabs>
          <w:tab w:val="left" w:pos="720" w:leader="none"/>
          <w:tab w:val="left" w:pos="1080" w:leader="none"/>
        </w:tabs>
        <w:rPr>
          <w:sz w:val="22"/>
        </w:rPr>
      </w:pPr>
      <w:r>
        <w:rPr>
          <w:sz w:val="22"/>
        </w:rPr>
      </w:r>
    </w:p>
    <w:p>
      <w:pPr>
        <w:pStyle w:val="Normal"/>
        <w:tabs>
          <w:tab w:val="left" w:pos="720" w:leader="none"/>
          <w:tab w:val="left" w:pos="1080" w:leader="none"/>
          <w:tab w:val="left" w:pos="1440" w:leader="none"/>
        </w:tabs>
        <w:ind w:hanging="1440" w:start="1440" w:end="0"/>
        <w:rPr>
          <w:sz w:val="22"/>
        </w:rPr>
      </w:pPr>
      <w:r>
        <w:rPr>
          <w:sz w:val="22"/>
        </w:rPr>
        <w:tab/>
        <w:tab/>
        <w:t>1)</w:t>
        <w:tab/>
        <w:t>Established Fundraising Plan, retained Sterling and Associates to assist the fundraising effort, and began implementation of 4-year fundraising effort. (Exhibit 18 – Core Corporations; Exhibit 19 – sample Fundraising Solicitation Letter)</w:t>
      </w:r>
    </w:p>
    <w:p>
      <w:pPr>
        <w:pStyle w:val="Normal"/>
        <w:tabs>
          <w:tab w:val="left" w:pos="720" w:leader="none"/>
          <w:tab w:val="left" w:pos="1080" w:leader="none"/>
          <w:tab w:val="left" w:pos="1440" w:leader="none"/>
        </w:tabs>
        <w:rPr>
          <w:sz w:val="22"/>
        </w:rPr>
      </w:pPr>
      <w:r>
        <w:rPr>
          <w:sz w:val="22"/>
        </w:rPr>
      </w:r>
    </w:p>
    <w:p>
      <w:pPr>
        <w:pStyle w:val="Normal"/>
        <w:tabs>
          <w:tab w:val="left" w:pos="720" w:leader="none"/>
          <w:tab w:val="left" w:pos="1080" w:leader="none"/>
          <w:tab w:val="left" w:pos="1440" w:leader="none"/>
        </w:tabs>
        <w:ind w:hanging="1440" w:start="1440" w:end="0"/>
        <w:rPr>
          <w:sz w:val="22"/>
        </w:rPr>
      </w:pPr>
      <w:r>
        <w:rPr>
          <w:sz w:val="22"/>
        </w:rPr>
        <w:tab/>
        <w:tab/>
        <w:t>2)</w:t>
        <w:tab/>
        <w:t xml:space="preserve">Received substantial support in 2001 from the Partnership in the form of a $350,000 line-of-credit loan, and staff efforts.  (Exhibit 20 – Partnership Resolution detailing the loan, Exhibit 21 – Current Balance Sheet on the Loan; </w:t>
      </w:r>
    </w:p>
    <w:p>
      <w:pPr>
        <w:pStyle w:val="Normal"/>
        <w:tabs>
          <w:tab w:val="left" w:pos="720" w:leader="none"/>
          <w:tab w:val="left" w:pos="1080" w:leader="none"/>
          <w:tab w:val="left" w:pos="1440" w:leader="none"/>
        </w:tabs>
        <w:rPr>
          <w:sz w:val="22"/>
        </w:rPr>
      </w:pPr>
      <w:r>
        <w:rPr>
          <w:sz w:val="22"/>
        </w:rPr>
      </w:r>
    </w:p>
    <w:p>
      <w:pPr>
        <w:pStyle w:val="Normal"/>
        <w:tabs>
          <w:tab w:val="left" w:pos="720" w:leader="none"/>
          <w:tab w:val="left" w:pos="1080" w:leader="none"/>
          <w:tab w:val="left" w:pos="1440" w:leader="none"/>
        </w:tabs>
        <w:rPr>
          <w:sz w:val="22"/>
        </w:rPr>
      </w:pPr>
      <w:r>
        <w:rPr>
          <w:sz w:val="22"/>
        </w:rPr>
        <w:tab/>
        <w:tab/>
        <w:t>3)</w:t>
        <w:tab/>
        <w:t>Obtained lead corporate gift from Enron of $250,000.</w:t>
      </w:r>
    </w:p>
    <w:p>
      <w:pPr>
        <w:pStyle w:val="Normal"/>
        <w:tabs>
          <w:tab w:val="left" w:pos="720" w:leader="none"/>
          <w:tab w:val="left" w:pos="1080" w:leader="none"/>
        </w:tabs>
        <w:rPr>
          <w:sz w:val="22"/>
        </w:rPr>
      </w:pPr>
      <w:r>
        <w:rPr>
          <w:sz w:val="22"/>
        </w:rPr>
      </w:r>
    </w:p>
    <w:p>
      <w:pPr>
        <w:pStyle w:val="Normal"/>
        <w:tabs>
          <w:tab w:val="left" w:pos="720" w:leader="none"/>
          <w:tab w:val="left" w:pos="1080" w:leader="none"/>
        </w:tabs>
        <w:rPr>
          <w:sz w:val="22"/>
        </w:rPr>
      </w:pPr>
      <w:r>
        <w:rPr>
          <w:sz w:val="22"/>
        </w:rPr>
        <w:t>V.</w:t>
        <w:tab/>
      </w:r>
      <w:r>
        <w:rPr>
          <w:sz w:val="22"/>
          <w:u w:val="single"/>
        </w:rPr>
        <w:t>On-Going Programs</w:t>
      </w:r>
    </w:p>
    <w:p>
      <w:pPr>
        <w:pStyle w:val="Normal"/>
        <w:tabs>
          <w:tab w:val="left" w:pos="720" w:leader="none"/>
          <w:tab w:val="left" w:pos="1080" w:leader="none"/>
        </w:tabs>
        <w:rPr>
          <w:sz w:val="22"/>
        </w:rPr>
      </w:pPr>
      <w:r>
        <w:rPr>
          <w:sz w:val="22"/>
        </w:rPr>
      </w:r>
    </w:p>
    <w:p>
      <w:pPr>
        <w:pStyle w:val="Normal"/>
        <w:tabs>
          <w:tab w:val="left" w:pos="720" w:leader="none"/>
          <w:tab w:val="left" w:pos="1080" w:leader="none"/>
        </w:tabs>
        <w:ind w:hanging="1080" w:start="720" w:end="0"/>
        <w:rPr>
          <w:sz w:val="22"/>
        </w:rPr>
      </w:pPr>
      <w:r>
        <w:rPr>
          <w:sz w:val="22"/>
        </w:rPr>
        <w:tab/>
        <w:t>In addition to the major programs approved by the Board in October 2001, there are a number of important programs that have been a fundamental mission of The Center since its founding.</w:t>
      </w:r>
    </w:p>
    <w:p>
      <w:pPr>
        <w:pStyle w:val="Normal"/>
        <w:tabs>
          <w:tab w:val="left" w:pos="720" w:leader="none"/>
          <w:tab w:val="left" w:pos="1080" w:leader="none"/>
        </w:tabs>
        <w:ind w:hanging="1080" w:start="720" w:end="0"/>
        <w:rPr>
          <w:sz w:val="22"/>
        </w:rPr>
      </w:pPr>
      <w:r>
        <w:rPr>
          <w:sz w:val="22"/>
        </w:rPr>
      </w:r>
    </w:p>
    <w:p>
      <w:pPr>
        <w:pStyle w:val="Normal"/>
        <w:ind w:start="720" w:end="0"/>
        <w:rPr/>
      </w:pPr>
      <w:r>
        <w:rPr>
          <w:b/>
          <w:bCs/>
          <w:sz w:val="22"/>
        </w:rPr>
        <w:t>Regional Modeling Consortium</w:t>
      </w:r>
      <w:r>
        <w:rPr>
          <w:sz w:val="22"/>
        </w:rPr>
        <w:t xml:space="preserve">  $29,000 income received in FY 2000, contractor paid in FY2001. This project involved the </w:t>
      </w:r>
      <w:r>
        <w:rPr>
          <w:bCs/>
          <w:sz w:val="22"/>
        </w:rPr>
        <w:t>development of a consortium of universities, the business community, and other stakeholders, under the project management of the Houston Advanced Research Center (HARC), which analyzed the current deficiencies in the air quality model of the Houston region; identified projects that will remedy these deficiencies; attracted national and state funding sources to fund these projects; and ensured that the results are used in a timely and appropriate fashion in the mid-course re-evaluation.   Funding for this project was provided by a grant from the Bank of America and it is complete.</w:t>
      </w:r>
    </w:p>
    <w:p>
      <w:pPr>
        <w:pStyle w:val="Normal"/>
        <w:rPr>
          <w:bCs/>
          <w:sz w:val="22"/>
        </w:rPr>
      </w:pPr>
      <w:r>
        <w:rPr>
          <w:bCs/>
          <w:sz w:val="22"/>
        </w:rPr>
      </w:r>
    </w:p>
    <w:p>
      <w:pPr>
        <w:pStyle w:val="Normal"/>
        <w:ind w:start="720" w:end="0"/>
        <w:rPr/>
      </w:pPr>
      <w:r>
        <w:rPr>
          <w:b/>
          <w:bCs/>
          <w:sz w:val="22"/>
        </w:rPr>
        <w:t xml:space="preserve">Greater Houston Workforce Training Fund  </w:t>
      </w:r>
      <w:r>
        <w:rPr>
          <w:sz w:val="22"/>
        </w:rPr>
        <w:t>Businesses that choose to become members of HoustonJobCentral will make an annual commitment to both advertising their employment opportunities with the Houston Chronicle and make a financial commitment to this Center for Houston's Future program.  The estimated program income was originally estimated to be between $150,000 and $500,000 annually.  Currently 18 members are committed and we have $73,000 in pledged contributions ($69,000 is in hand.)  $20,200 each was distributed to the following training programs: Teach for America - A national teacher corps of recent college graduates committed to two years of teaching in under-resourced public schools. Houston Technology Center for its Education Collaborative program, which helps Houston's economically disadvantaged attain technology skills needed to be competitive in today's workplace and the National Association of Hispanic Nurses - Houston Chapter to fund 40 applicants to complete the nursing review process.</w:t>
      </w:r>
    </w:p>
    <w:p>
      <w:pPr>
        <w:pStyle w:val="Normal"/>
        <w:tabs>
          <w:tab w:val="left" w:pos="720" w:leader="none"/>
          <w:tab w:val="left" w:pos="1080" w:leader="none"/>
        </w:tabs>
        <w:ind w:hanging="1080" w:start="720" w:end="0"/>
        <w:rPr>
          <w:sz w:val="22"/>
        </w:rPr>
      </w:pPr>
      <w:r>
        <w:rPr>
          <w:sz w:val="22"/>
        </w:rPr>
      </w:r>
    </w:p>
    <w:p>
      <w:pPr>
        <w:pStyle w:val="Normal"/>
        <w:tabs>
          <w:tab w:val="left" w:pos="720" w:leader="none"/>
          <w:tab w:val="left" w:pos="1080" w:leader="none"/>
        </w:tabs>
        <w:rPr>
          <w:sz w:val="22"/>
        </w:rPr>
      </w:pPr>
      <w:r>
        <w:rPr>
          <w:sz w:val="22"/>
        </w:rPr>
      </w:r>
    </w:p>
    <w:p>
      <w:pPr>
        <w:pStyle w:val="Normal"/>
        <w:tabs>
          <w:tab w:val="left" w:pos="720" w:leader="none"/>
          <w:tab w:val="left" w:pos="1080" w:leader="none"/>
        </w:tabs>
        <w:rPr>
          <w:sz w:val="22"/>
        </w:rPr>
      </w:pPr>
      <w:r>
        <w:rPr>
          <w:b/>
          <w:sz w:val="22"/>
        </w:rPr>
        <w:t>CHALLENGES FACED IN 2001</w:t>
      </w:r>
    </w:p>
    <w:p>
      <w:pPr>
        <w:pStyle w:val="Normal"/>
        <w:tabs>
          <w:tab w:val="left" w:pos="720" w:leader="none"/>
          <w:tab w:val="left" w:pos="1080" w:leader="none"/>
        </w:tabs>
        <w:rPr>
          <w:sz w:val="22"/>
        </w:rPr>
      </w:pPr>
      <w:r>
        <w:rPr>
          <w:sz w:val="22"/>
        </w:rPr>
      </w:r>
    </w:p>
    <w:p>
      <w:pPr>
        <w:pStyle w:val="Normal"/>
        <w:tabs>
          <w:tab w:val="left" w:pos="720" w:leader="none"/>
          <w:tab w:val="left" w:pos="1080" w:leader="none"/>
        </w:tabs>
        <w:ind w:hanging="720" w:start="720" w:end="0"/>
        <w:rPr>
          <w:sz w:val="22"/>
        </w:rPr>
      </w:pPr>
      <w:r>
        <w:rPr>
          <w:sz w:val="22"/>
        </w:rPr>
        <w:t>I.</w:t>
        <w:tab/>
      </w:r>
      <w:r>
        <w:rPr>
          <w:i/>
          <w:sz w:val="22"/>
        </w:rPr>
        <w:t>Extremely limited professional staff given magnitude of Work Plan requirement.</w:t>
      </w:r>
    </w:p>
    <w:p>
      <w:pPr>
        <w:pStyle w:val="Normal"/>
        <w:tabs>
          <w:tab w:val="left" w:pos="720" w:leader="none"/>
          <w:tab w:val="left" w:pos="1080" w:leader="none"/>
        </w:tabs>
        <w:ind w:hanging="720" w:start="720" w:end="0"/>
        <w:rPr>
          <w:sz w:val="22"/>
        </w:rPr>
      </w:pPr>
      <w:r>
        <w:rPr>
          <w:sz w:val="22"/>
        </w:rPr>
        <w:tab/>
        <w:t>Due to the extended negotiation of the Memorandum of Understanding, The Center’s efforts to proceed with fundraising have been delayed and thus hiring of The Center’s full team has not yet taken place.</w:t>
      </w:r>
    </w:p>
    <w:p>
      <w:pPr>
        <w:pStyle w:val="Normal"/>
        <w:tabs>
          <w:tab w:val="left" w:pos="720" w:leader="none"/>
          <w:tab w:val="left" w:pos="1080" w:leader="none"/>
        </w:tabs>
        <w:ind w:hanging="720" w:start="720" w:end="0"/>
        <w:rPr>
          <w:sz w:val="22"/>
        </w:rPr>
      </w:pPr>
      <w:r>
        <w:rPr>
          <w:sz w:val="22"/>
        </w:rPr>
      </w:r>
    </w:p>
    <w:p>
      <w:pPr>
        <w:pStyle w:val="Normal"/>
        <w:tabs>
          <w:tab w:val="left" w:pos="720" w:leader="none"/>
          <w:tab w:val="left" w:pos="1080" w:leader="none"/>
        </w:tabs>
        <w:ind w:hanging="720" w:start="720" w:end="0"/>
        <w:rPr>
          <w:sz w:val="22"/>
        </w:rPr>
      </w:pPr>
      <w:r>
        <w:rPr>
          <w:sz w:val="22"/>
        </w:rPr>
        <w:t>II.</w:t>
        <w:tab/>
      </w:r>
      <w:r>
        <w:rPr>
          <w:i/>
          <w:sz w:val="22"/>
        </w:rPr>
        <w:t>Delay in definition and structure of Strategic Planning Committees.</w:t>
      </w:r>
    </w:p>
    <w:p>
      <w:pPr>
        <w:pStyle w:val="Normal"/>
        <w:tabs>
          <w:tab w:val="left" w:pos="720" w:leader="none"/>
          <w:tab w:val="left" w:pos="1080" w:leader="none"/>
        </w:tabs>
        <w:ind w:hanging="720" w:start="720" w:end="0"/>
        <w:rPr/>
      </w:pPr>
      <w:r>
        <w:rPr>
          <w:sz w:val="22"/>
        </w:rPr>
        <w:tab/>
        <w:t>In particular, the Social Services initial volunteer structure was that of a working group and lacked oversight of a business-led committee as per the Work Plan.  An initiative is now underway to man the committee with business volunteers to support the working group’s efforts.  The Quality of Place effort is still focusing on project definition.  The Crossroads Committee is in its formative stages.  The Strategic Planning initiative will be greatly enhanced by the hiring of the CEO and planning support staff.  This staff should be in place in the 4</w:t>
      </w:r>
      <w:r>
        <w:rPr>
          <w:sz w:val="22"/>
          <w:vertAlign w:val="superscript"/>
        </w:rPr>
        <w:t>th</w:t>
      </w:r>
      <w:r>
        <w:rPr>
          <w:sz w:val="22"/>
        </w:rPr>
        <w:t xml:space="preserve"> quarter of 2001 and significantly expedite this process.  In general, the Strategic Planning must become more comprehensive, with priorities, plans for implementation, metrics and documentation.</w:t>
      </w:r>
    </w:p>
    <w:p>
      <w:pPr>
        <w:pStyle w:val="Normal"/>
        <w:tabs>
          <w:tab w:val="left" w:pos="720" w:leader="none"/>
          <w:tab w:val="left" w:pos="1080" w:leader="none"/>
        </w:tabs>
        <w:ind w:hanging="720" w:start="720" w:end="0"/>
        <w:rPr>
          <w:sz w:val="22"/>
        </w:rPr>
      </w:pPr>
      <w:r>
        <w:rPr>
          <w:sz w:val="22"/>
        </w:rPr>
      </w:r>
    </w:p>
    <w:p>
      <w:pPr>
        <w:pStyle w:val="Normal"/>
        <w:tabs>
          <w:tab w:val="left" w:pos="720" w:leader="none"/>
          <w:tab w:val="left" w:pos="1080" w:leader="none"/>
        </w:tabs>
        <w:ind w:hanging="720" w:start="720" w:end="0"/>
        <w:rPr>
          <w:sz w:val="22"/>
        </w:rPr>
      </w:pPr>
      <w:r>
        <w:rPr>
          <w:sz w:val="22"/>
        </w:rPr>
        <w:t>III.</w:t>
        <w:tab/>
      </w:r>
      <w:r>
        <w:rPr>
          <w:i/>
          <w:sz w:val="22"/>
        </w:rPr>
        <w:t>Institutionalizing the processes and procedures for the efficient and effective operation of The Center.</w:t>
      </w:r>
    </w:p>
    <w:p>
      <w:pPr>
        <w:pStyle w:val="Normal"/>
        <w:tabs>
          <w:tab w:val="left" w:pos="720" w:leader="none"/>
          <w:tab w:val="left" w:pos="1080" w:leader="none"/>
        </w:tabs>
        <w:ind w:hanging="720" w:start="720" w:end="0"/>
        <w:rPr>
          <w:sz w:val="22"/>
        </w:rPr>
      </w:pPr>
      <w:r>
        <w:rPr>
          <w:sz w:val="22"/>
        </w:rPr>
        <w:tab/>
        <w:t>In particular, The Center requires a clear definition of the roles and responsibilities of the different elements of the organization, with clear authorities for each element.  The recently constituted committee, under the leadership of Rufus Cormier, is now addressing this issue.</w:t>
      </w:r>
    </w:p>
    <w:p>
      <w:pPr>
        <w:pStyle w:val="Normal"/>
        <w:tabs>
          <w:tab w:val="left" w:pos="720" w:leader="none"/>
          <w:tab w:val="left" w:pos="1080" w:leader="none"/>
        </w:tabs>
        <w:ind w:hanging="720" w:start="720" w:end="0"/>
        <w:rPr>
          <w:sz w:val="22"/>
        </w:rPr>
      </w:pPr>
      <w:r>
        <w:rPr>
          <w:sz w:val="22"/>
        </w:rPr>
      </w:r>
    </w:p>
    <w:p>
      <w:pPr>
        <w:pStyle w:val="Normal"/>
        <w:tabs>
          <w:tab w:val="left" w:pos="720" w:leader="none"/>
          <w:tab w:val="left" w:pos="1080" w:leader="none"/>
        </w:tabs>
        <w:ind w:hanging="720" w:start="720" w:end="0"/>
        <w:rPr>
          <w:sz w:val="22"/>
        </w:rPr>
      </w:pPr>
      <w:r>
        <w:rPr>
          <w:sz w:val="22"/>
        </w:rPr>
        <w:t>IV.</w:t>
        <w:tab/>
        <w:t>We must do more to demonstrate the mantra of “widening the bench and broadening the circle” in all activities of The Center.</w:t>
      </w:r>
    </w:p>
    <w:p>
      <w:pPr>
        <w:pStyle w:val="Normal"/>
        <w:tabs>
          <w:tab w:val="left" w:pos="720" w:leader="none"/>
          <w:tab w:val="left" w:pos="1080" w:leader="none"/>
        </w:tabs>
        <w:ind w:hanging="720" w:start="720" w:end="0"/>
        <w:rPr>
          <w:sz w:val="22"/>
        </w:rPr>
      </w:pPr>
      <w:r>
        <w:rPr>
          <w:sz w:val="22"/>
        </w:rPr>
      </w:r>
    </w:p>
    <w:p>
      <w:pPr>
        <w:pStyle w:val="Normal"/>
        <w:tabs>
          <w:tab w:val="left" w:pos="720" w:leader="none"/>
          <w:tab w:val="left" w:pos="1080" w:leader="none"/>
        </w:tabs>
        <w:ind w:hanging="720" w:start="720" w:end="0"/>
        <w:rPr>
          <w:sz w:val="22"/>
        </w:rPr>
      </w:pPr>
      <w:r>
        <w:rPr>
          <w:sz w:val="22"/>
        </w:rPr>
      </w:r>
    </w:p>
    <w:p>
      <w:pPr>
        <w:pStyle w:val="Normal"/>
        <w:tabs>
          <w:tab w:val="left" w:pos="720" w:leader="none"/>
          <w:tab w:val="left" w:pos="1080" w:leader="none"/>
        </w:tabs>
        <w:ind w:hanging="720" w:start="720" w:end="0"/>
        <w:rPr>
          <w:sz w:val="22"/>
        </w:rPr>
      </w:pPr>
      <w:r>
        <w:rPr>
          <w:b/>
          <w:sz w:val="22"/>
        </w:rPr>
        <w:t>PRIORITIES FOR 2002</w:t>
      </w:r>
    </w:p>
    <w:p>
      <w:pPr>
        <w:pStyle w:val="Normal"/>
        <w:tabs>
          <w:tab w:val="left" w:pos="720" w:leader="none"/>
          <w:tab w:val="left" w:pos="1080" w:leader="none"/>
        </w:tabs>
        <w:ind w:hanging="720" w:start="720" w:end="0"/>
        <w:rPr>
          <w:sz w:val="22"/>
        </w:rPr>
      </w:pPr>
      <w:r>
        <w:rPr>
          <w:sz w:val="22"/>
        </w:rPr>
      </w:r>
    </w:p>
    <w:p>
      <w:pPr>
        <w:pStyle w:val="Normal"/>
        <w:tabs>
          <w:tab w:val="left" w:pos="720" w:leader="none"/>
          <w:tab w:val="left" w:pos="1080" w:leader="none"/>
        </w:tabs>
        <w:rPr>
          <w:sz w:val="22"/>
        </w:rPr>
      </w:pPr>
      <w:r>
        <w:rPr>
          <w:sz w:val="22"/>
        </w:rPr>
        <w:t>The Work Plan approved in April 2001 will continue to be the base document used to guide the initiatives of The Center in 2002.  Key priorities for 2002 will be:</w:t>
      </w:r>
    </w:p>
    <w:p>
      <w:pPr>
        <w:pStyle w:val="Normal"/>
        <w:tabs>
          <w:tab w:val="left" w:pos="720" w:leader="none"/>
          <w:tab w:val="left" w:pos="1080" w:leader="none"/>
        </w:tabs>
        <w:rPr>
          <w:sz w:val="22"/>
        </w:rPr>
      </w:pPr>
      <w:r>
        <w:rPr>
          <w:sz w:val="22"/>
        </w:rPr>
      </w:r>
    </w:p>
    <w:p>
      <w:pPr>
        <w:pStyle w:val="Normal"/>
        <w:tabs>
          <w:tab w:val="left" w:pos="720" w:leader="none"/>
          <w:tab w:val="left" w:pos="1080" w:leader="none"/>
        </w:tabs>
        <w:ind w:hanging="810" w:start="720" w:end="0"/>
        <w:rPr>
          <w:sz w:val="22"/>
        </w:rPr>
      </w:pPr>
      <w:r>
        <w:rPr>
          <w:sz w:val="22"/>
        </w:rPr>
        <w:t>I.</w:t>
        <w:tab/>
        <w:t>Continue to refine and implement the 2001 Work Plan.</w:t>
      </w:r>
    </w:p>
    <w:p>
      <w:pPr>
        <w:pStyle w:val="Normal"/>
        <w:tabs>
          <w:tab w:val="left" w:pos="720" w:leader="none"/>
          <w:tab w:val="left" w:pos="1080" w:leader="none"/>
        </w:tabs>
        <w:ind w:hanging="810" w:start="720" w:end="0"/>
        <w:rPr>
          <w:sz w:val="22"/>
        </w:rPr>
      </w:pPr>
      <w:r>
        <w:rPr>
          <w:sz w:val="22"/>
        </w:rPr>
        <w:t>II.</w:t>
        <w:tab/>
        <w:t>Address the Challenges from 2001 as set out above.</w:t>
      </w:r>
    </w:p>
    <w:p>
      <w:pPr>
        <w:pStyle w:val="Normal"/>
        <w:tabs>
          <w:tab w:val="left" w:pos="720" w:leader="none"/>
          <w:tab w:val="left" w:pos="1080" w:leader="none"/>
        </w:tabs>
        <w:ind w:hanging="810" w:start="720" w:end="0"/>
        <w:rPr>
          <w:sz w:val="22"/>
        </w:rPr>
      </w:pPr>
      <w:r>
        <w:rPr>
          <w:sz w:val="22"/>
        </w:rPr>
        <w:t>III.</w:t>
        <w:tab/>
        <w:t>Refine the business-civic leadership process based upon feedback from the 2001 Business/Civic Leadership Forum.</w:t>
      </w:r>
    </w:p>
    <w:p>
      <w:pPr>
        <w:pStyle w:val="Normal"/>
        <w:tabs>
          <w:tab w:val="left" w:pos="720" w:leader="none"/>
          <w:tab w:val="left" w:pos="1080" w:leader="none"/>
        </w:tabs>
        <w:ind w:hanging="810" w:start="720" w:end="0"/>
        <w:rPr>
          <w:sz w:val="22"/>
        </w:rPr>
      </w:pPr>
      <w:r>
        <w:rPr>
          <w:sz w:val="22"/>
        </w:rPr>
        <w:t>IV.</w:t>
        <w:tab/>
        <w:t>Establish consensus on structure and objectives of the Social Services Committee and complete plans and implementation schedule for initial point of maximum leverage.</w:t>
      </w:r>
    </w:p>
    <w:p>
      <w:pPr>
        <w:pStyle w:val="Normal"/>
        <w:tabs>
          <w:tab w:val="left" w:pos="720" w:leader="none"/>
          <w:tab w:val="left" w:pos="1080" w:leader="none"/>
        </w:tabs>
        <w:ind w:hanging="810" w:start="720" w:end="0"/>
        <w:rPr>
          <w:sz w:val="22"/>
        </w:rPr>
      </w:pPr>
      <w:r>
        <w:rPr>
          <w:sz w:val="22"/>
        </w:rPr>
        <w:t>V.</w:t>
        <w:tab/>
        <w:t>Develop concrete plans and implementation schedules for the two leading points of maximum strategic leverage for the Education Committee (Technology and Education and Early Childhood Care and Education).</w:t>
      </w:r>
    </w:p>
    <w:p>
      <w:pPr>
        <w:pStyle w:val="Normal"/>
        <w:tabs>
          <w:tab w:val="left" w:pos="720" w:leader="none"/>
          <w:tab w:val="left" w:pos="1080" w:leader="none"/>
        </w:tabs>
        <w:ind w:hanging="810" w:start="720" w:end="0"/>
        <w:rPr>
          <w:sz w:val="22"/>
        </w:rPr>
      </w:pPr>
      <w:r>
        <w:rPr>
          <w:sz w:val="22"/>
        </w:rPr>
        <w:t>VI.</w:t>
        <w:tab/>
        <w:t>Develop Quality of Place recommendations and detailed plans and schedules for an initial focus on two points of maximum leverage.</w:t>
      </w:r>
    </w:p>
    <w:p>
      <w:pPr>
        <w:pStyle w:val="Normal"/>
        <w:tabs>
          <w:tab w:val="left" w:pos="720" w:leader="none"/>
          <w:tab w:val="left" w:pos="1080" w:leader="none"/>
        </w:tabs>
        <w:ind w:hanging="810" w:start="720" w:end="0"/>
        <w:rPr>
          <w:sz w:val="22"/>
        </w:rPr>
      </w:pPr>
      <w:r>
        <w:rPr>
          <w:sz w:val="22"/>
        </w:rPr>
        <w:t>VII.</w:t>
        <w:tab/>
        <w:t>Establish the Crossroads Committee (including substantial representation from 2001-2002 Business/Civic Leadership Forum participants).  Develop policy paper and initiate recommendations and implementation plans and schedules.  Utilize McKinsey &amp; Company to support this initiative with pro bono work.</w:t>
      </w:r>
    </w:p>
    <w:p>
      <w:pPr>
        <w:pStyle w:val="Normal"/>
        <w:tabs>
          <w:tab w:val="left" w:pos="720" w:leader="none"/>
          <w:tab w:val="left" w:pos="1080" w:leader="none"/>
        </w:tabs>
        <w:ind w:hanging="810" w:start="720" w:end="0"/>
        <w:rPr>
          <w:sz w:val="22"/>
        </w:rPr>
      </w:pPr>
      <w:r>
        <w:rPr>
          <w:sz w:val="22"/>
        </w:rPr>
        <w:t>VIII.</w:t>
        <w:tab/>
        <w:t>Enhance membership of the Community Future Awareness Committee.  Develop and implement 2002 Awareness Campaign in concert with the development of communications plan including publicity focus (branding development), media strategy, production of collateral materials / presentation materials, establishing unique Web presence, etc.</w:t>
      </w:r>
    </w:p>
    <w:p>
      <w:pPr>
        <w:pStyle w:val="Normal"/>
        <w:tabs>
          <w:tab w:val="left" w:pos="720" w:leader="none"/>
          <w:tab w:val="left" w:pos="1080" w:leader="none"/>
        </w:tabs>
        <w:ind w:hanging="810" w:start="720" w:end="0"/>
        <w:rPr>
          <w:sz w:val="22"/>
        </w:rPr>
      </w:pPr>
      <w:r>
        <w:rPr>
          <w:sz w:val="22"/>
        </w:rPr>
        <w:t>IX.</w:t>
        <w:tab/>
        <w:t>Implement procedures and policies as recommended by the committee and approved by The Center’s board of directors, including the appointment of an effective Executive Committee.</w:t>
      </w:r>
    </w:p>
    <w:p>
      <w:pPr>
        <w:pStyle w:val="Normal"/>
        <w:tabs>
          <w:tab w:val="left" w:pos="720" w:leader="none"/>
          <w:tab w:val="left" w:pos="1080" w:leader="none"/>
        </w:tabs>
        <w:ind w:hanging="810" w:start="720" w:end="0"/>
        <w:rPr>
          <w:sz w:val="22"/>
        </w:rPr>
      </w:pPr>
      <w:r>
        <w:rPr>
          <w:sz w:val="22"/>
        </w:rPr>
        <w:t>X.</w:t>
        <w:tab/>
        <w:t>Negotiate and implement a monthly Administrative Services Agreement with the Partnership as set out in the Memorandum of Understanding.</w:t>
      </w:r>
    </w:p>
    <w:p>
      <w:pPr>
        <w:pStyle w:val="Normal"/>
        <w:tabs>
          <w:tab w:val="left" w:pos="720" w:leader="none"/>
          <w:tab w:val="left" w:pos="1080" w:leader="none"/>
        </w:tabs>
        <w:ind w:hanging="810" w:start="720" w:end="0"/>
        <w:rPr>
          <w:sz w:val="22"/>
        </w:rPr>
      </w:pPr>
      <w:r>
        <w:rPr>
          <w:sz w:val="22"/>
        </w:rPr>
        <w:t>XI.</w:t>
        <w:tab/>
        <w:t>Establish The Center’s offices:</w:t>
      </w:r>
    </w:p>
    <w:p>
      <w:pPr>
        <w:pStyle w:val="Normal"/>
        <w:tabs>
          <w:tab w:val="left" w:pos="720" w:leader="none"/>
          <w:tab w:val="left" w:pos="1080" w:leader="none"/>
        </w:tabs>
        <w:ind w:hanging="810" w:start="720" w:end="0"/>
        <w:rPr>
          <w:sz w:val="22"/>
        </w:rPr>
      </w:pPr>
      <w:r>
        <w:rPr>
          <w:sz w:val="22"/>
        </w:rPr>
        <w:tab/>
        <w:tab/>
        <w:t xml:space="preserve">     a) Hire two managers and two support personnel.</w:t>
      </w:r>
    </w:p>
    <w:p>
      <w:pPr>
        <w:pStyle w:val="Normal"/>
        <w:tabs>
          <w:tab w:val="left" w:pos="720" w:leader="none"/>
          <w:tab w:val="left" w:pos="1080" w:leader="none"/>
        </w:tabs>
        <w:ind w:hanging="810" w:start="720" w:end="0"/>
        <w:rPr>
          <w:sz w:val="22"/>
        </w:rPr>
      </w:pPr>
      <w:r>
        <w:rPr>
          <w:sz w:val="22"/>
        </w:rPr>
        <w:tab/>
        <w:tab/>
        <w:t xml:space="preserve">     b) Refine the budgeting, accounting and reporting systems.</w:t>
      </w:r>
    </w:p>
    <w:p>
      <w:pPr>
        <w:pStyle w:val="Normal"/>
        <w:tabs>
          <w:tab w:val="left" w:pos="720" w:leader="none"/>
          <w:tab w:val="left" w:pos="1080" w:leader="none"/>
        </w:tabs>
        <w:ind w:hanging="810" w:start="720" w:end="0"/>
        <w:rPr>
          <w:sz w:val="22"/>
        </w:rPr>
      </w:pPr>
      <w:r>
        <w:rPr>
          <w:sz w:val="22"/>
        </w:rPr>
      </w:r>
    </w:p>
    <w:sectPr>
      <w:type w:val="continuous"/>
      <w:pgSz w:w="12240" w:h="15840"/>
      <w:pgMar w:left="1800" w:right="1800" w:gutter="0" w:header="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5486400" cy="350520"/>
              <wp:effectExtent l="0" t="0" r="0" b="0"/>
              <wp:wrapSquare wrapText="bothSides"/>
              <wp:docPr id="4" name="Frame1"/>
              <a:graphic xmlns:a="http://schemas.openxmlformats.org/drawingml/2006/main">
                <a:graphicData uri="http://schemas.microsoft.com/office/word/2010/wordprocessingShape">
                  <wps:wsp>
                    <wps:cNvSpPr txBox="1"/>
                    <wps:spPr>
                      <a:xfrm>
                        <a:off x="0" y="0"/>
                        <a:ext cx="5486400" cy="350520"/>
                      </a:xfrm>
                      <a:prstGeom prst="rect"/>
                      <a:solidFill>
                        <a:srgbClr val="FFFFFF">
                          <a:alpha val="0"/>
                        </a:srgbClr>
                      </a:solidFill>
                    </wps:spPr>
                    <wps:txbx>
                      <w:txbxContent>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32pt;height:27.6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2001-10-15T14:56:00Z</dcterms:created>
  <dc:creator>Jenrose</dc:creator>
  <dc:description/>
  <dc:language>en-CA</dc:language>
  <cp:lastModifiedBy>Marilou Schopper</cp:lastModifiedBy>
  <cp:lastPrinted>2001-10-16T09:10:00Z</cp:lastPrinted>
  <dcterms:modified xsi:type="dcterms:W3CDTF">2001-10-16T12:34:00Z</dcterms:modified>
  <cp:revision>22</cp:revision>
  <dc:subject/>
  <dc:title>2001 ACCOMPLISHMENTS AND CHALLENGES</dc:title>
</cp:coreProperties>
</file>