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b/>
          <w:sz w:val="36"/>
        </w:rPr>
      </w:pPr>
      <w:r>
        <w:rPr>
          <w:rFonts w:cs="Arial" w:ascii="Arial" w:hAnsi="Arial"/>
          <w:b/>
          <w:sz w:val="36"/>
        </w:rPr>
        <w:t>Enron Global Markets</w:t>
      </w:r>
    </w:p>
    <w:p>
      <w:pPr>
        <w:pStyle w:val="Heading4"/>
        <w:ind w:hanging="0" w:start="0"/>
        <w:rPr>
          <w:i w:val="false"/>
          <w:i w:val="false"/>
          <w:iCs w:val="false"/>
        </w:rPr>
      </w:pPr>
      <w:r>
        <w:rPr>
          <w:i w:val="false"/>
          <w:iCs w:val="false"/>
        </w:rPr>
        <w:t xml:space="preserve">Ammonia/Urea </w:t>
      </w:r>
    </w:p>
    <w:p>
      <w:pPr>
        <w:pStyle w:val="Heading4"/>
        <w:ind w:hanging="0" w:start="0"/>
        <w:rPr/>
      </w:pPr>
      <w:r>
        <w:rPr/>
        <w:t>Update Overview</w:t>
      </w:r>
    </w:p>
    <w:p>
      <w:pPr>
        <w:pStyle w:val="Normal"/>
        <w:jc w:val="center"/>
        <w:rPr>
          <w:rFonts w:ascii="Arial" w:hAnsi="Arial" w:cs="Arial"/>
          <w:b/>
          <w:sz w:val="36"/>
        </w:rPr>
      </w:pPr>
      <w:r>
        <w:rPr>
          <w:rFonts w:cs="Arial" w:ascii="Arial" w:hAnsi="Arial"/>
          <w:b/>
          <w:sz w:val="36"/>
        </w:rPr>
      </w:r>
    </w:p>
    <w:p>
      <w:pPr>
        <w:pStyle w:val="Normal"/>
        <w:jc w:val="center"/>
        <w:rPr>
          <w:rFonts w:ascii="Arial" w:hAnsi="Arial" w:cs="Arial"/>
          <w:b/>
          <w:sz w:val="36"/>
        </w:rPr>
      </w:pPr>
      <w:r>
        <w:rPr>
          <w:rFonts w:cs="Arial" w:ascii="Arial" w:hAnsi="Arial"/>
          <w:b/>
          <w:sz w:val="36"/>
        </w:rPr>
      </w:r>
    </w:p>
    <w:p>
      <w:pPr>
        <w:pStyle w:val="Normal"/>
        <w:jc w:val="center"/>
        <w:rPr>
          <w:rFonts w:ascii="Arial" w:hAnsi="Arial" w:cs="Arial"/>
          <w:b/>
          <w:sz w:val="36"/>
        </w:rPr>
      </w:pPr>
      <w:r>
        <w:rPr>
          <w:rFonts w:cs="Arial" w:ascii="Arial" w:hAnsi="Arial"/>
          <w:b/>
          <w:sz w:val="36"/>
        </w:rPr>
      </w:r>
    </w:p>
    <w:p>
      <w:pPr>
        <w:pStyle w:val="Normal"/>
        <w:jc w:val="center"/>
        <w:rPr>
          <w:rFonts w:ascii="Arial" w:hAnsi="Arial" w:cs="Arial"/>
          <w:b/>
          <w:sz w:val="36"/>
        </w:rPr>
      </w:pPr>
      <w:r>
        <w:rPr>
          <w:rFonts w:cs="Arial" w:ascii="Arial" w:hAnsi="Arial"/>
          <w:b/>
          <w:sz w:val="36"/>
        </w:rPr>
      </w:r>
    </w:p>
    <w:p>
      <w:pPr>
        <w:pStyle w:val="Normal"/>
        <w:jc w:val="center"/>
        <w:rPr>
          <w:rFonts w:ascii="Arial" w:hAnsi="Arial" w:cs="Arial"/>
          <w:b/>
          <w:sz w:val="36"/>
        </w:rPr>
      </w:pPr>
      <w:r>
        <w:rPr>
          <w:rFonts w:cs="Arial" w:ascii="Arial" w:hAnsi="Arial"/>
          <w:b/>
          <w:sz w:val="36"/>
        </w:rPr>
      </w:r>
    </w:p>
    <w:p>
      <w:pPr>
        <w:pStyle w:val="Normal"/>
        <w:jc w:val="center"/>
        <w:rPr>
          <w:rFonts w:ascii="Arial" w:hAnsi="Arial" w:cs="Arial"/>
          <w:b/>
          <w:sz w:val="36"/>
        </w:rPr>
      </w:pPr>
      <w:r>
        <w:rPr>
          <w:rFonts w:cs="Arial" w:ascii="Arial" w:hAnsi="Arial"/>
          <w:b/>
          <w:sz w:val="36"/>
        </w:rPr>
      </w:r>
    </w:p>
    <w:p>
      <w:pPr>
        <w:pStyle w:val="Normal"/>
        <w:jc w:val="center"/>
        <w:rPr>
          <w:rFonts w:ascii="Arial" w:hAnsi="Arial" w:cs="Arial"/>
          <w:b/>
          <w:sz w:val="36"/>
        </w:rPr>
      </w:pPr>
      <w:r>
        <w:rPr>
          <w:rFonts w:cs="Arial" w:ascii="Arial" w:hAnsi="Arial"/>
          <w:b/>
          <w:sz w:val="36"/>
        </w:rPr>
      </w:r>
    </w:p>
    <w:p>
      <w:pPr>
        <w:pStyle w:val="Normal"/>
        <w:jc w:val="center"/>
        <w:rPr>
          <w:rFonts w:ascii="Arial" w:hAnsi="Arial" w:cs="Arial"/>
          <w:b/>
          <w:sz w:val="36"/>
        </w:rPr>
      </w:pPr>
      <w:r>
        <w:rPr>
          <w:rFonts w:cs="Arial" w:ascii="Arial" w:hAnsi="Arial"/>
          <w:b/>
          <w:sz w:val="36"/>
        </w:rPr>
      </w:r>
    </w:p>
    <w:p>
      <w:pPr>
        <w:pStyle w:val="Normal"/>
        <w:jc w:val="center"/>
        <w:rPr>
          <w:rFonts w:ascii="Arial" w:hAnsi="Arial" w:cs="Arial"/>
          <w:b/>
          <w:sz w:val="36"/>
        </w:rPr>
      </w:pPr>
      <w:r>
        <w:rPr>
          <w:rFonts w:cs="Arial" w:ascii="Arial" w:hAnsi="Arial"/>
          <w:b/>
          <w:sz w:val="36"/>
        </w:rPr>
      </w:r>
    </w:p>
    <w:p>
      <w:pPr>
        <w:pStyle w:val="Normal"/>
        <w:jc w:val="center"/>
        <w:rPr>
          <w:rFonts w:ascii="Arial" w:hAnsi="Arial" w:cs="Arial"/>
          <w:b/>
          <w:sz w:val="36"/>
        </w:rPr>
      </w:pPr>
      <w:r>
        <w:rPr>
          <w:rFonts w:cs="Arial" w:ascii="Arial" w:hAnsi="Arial"/>
          <w:b/>
          <w:sz w:val="36"/>
        </w:rPr>
        <w:t>Rob Krotee &amp; Marc Distefano</w:t>
      </w:r>
      <w:r>
        <w:br w:type="page"/>
      </w:r>
    </w:p>
    <w:p>
      <w:pPr>
        <w:pStyle w:val="Heading1"/>
        <w:ind w:hanging="0" w:start="0"/>
        <w:rPr>
          <w:b/>
          <w:sz w:val="32"/>
        </w:rPr>
      </w:pPr>
      <w:r>
        <w:rPr>
          <w:b/>
          <w:sz w:val="32"/>
        </w:rPr>
        <w:t>Update</w:t>
      </w:r>
    </w:p>
    <w:p>
      <w:pPr>
        <w:pStyle w:val="Normal"/>
        <w:rPr>
          <w:b/>
          <w:sz w:val="32"/>
        </w:rPr>
      </w:pPr>
      <w:r>
        <w:rPr>
          <w:b/>
          <w:sz w:val="32"/>
        </w:rPr>
      </w:r>
    </w:p>
    <w:p>
      <w:pPr>
        <w:pStyle w:val="Normal"/>
        <w:rPr/>
      </w:pPr>
      <w:r>
        <w:rPr/>
      </w:r>
    </w:p>
    <w:p>
      <w:pPr>
        <w:pStyle w:val="Normal"/>
        <w:numPr>
          <w:ilvl w:val="0"/>
          <w:numId w:val="6"/>
        </w:numPr>
        <w:rPr>
          <w:rFonts w:ascii="Arial" w:hAnsi="Arial" w:cs="Arial"/>
          <w:b/>
          <w:sz w:val="24"/>
        </w:rPr>
      </w:pPr>
      <w:r>
        <w:rPr>
          <w:rFonts w:cs="Arial" w:ascii="Arial" w:hAnsi="Arial"/>
          <w:b/>
          <w:sz w:val="24"/>
        </w:rPr>
        <w:t xml:space="preserve">Current Market Situation.  </w:t>
      </w:r>
    </w:p>
    <w:p>
      <w:pPr>
        <w:pStyle w:val="Normal"/>
        <w:rPr>
          <w:rFonts w:ascii="Arial" w:hAnsi="Arial" w:cs="Arial"/>
          <w:b/>
          <w:sz w:val="24"/>
        </w:rPr>
      </w:pPr>
      <w:r>
        <w:rPr>
          <w:rFonts w:cs="Arial" w:ascii="Arial" w:hAnsi="Arial"/>
          <w:b/>
          <w:sz w:val="24"/>
        </w:rPr>
      </w:r>
    </w:p>
    <w:p>
      <w:pPr>
        <w:pStyle w:val="Normal"/>
        <w:ind w:firstLine="360" w:start="360" w:end="0"/>
        <w:rPr>
          <w:rFonts w:ascii="Arial" w:hAnsi="Arial" w:cs="Arial"/>
          <w:sz w:val="24"/>
        </w:rPr>
      </w:pPr>
      <w:r>
        <w:rPr>
          <w:rFonts w:cs="Arial" w:ascii="Arial" w:hAnsi="Arial"/>
          <w:sz w:val="24"/>
        </w:rPr>
        <w:t>The ammonia and urea market is starting to recover from the worst year for the fertilizer industry in 20 years.  Last winter’s abnormally high gas prices and poor spring weather conditions, that did not support fertilizer application and planting cycles, where two major factors which led to the slump.  Today the market is making an adjustment.  Natural gas prices are again in check and companies are re-looking their hedging strategies.  The upcoming planting season’s demand for ammonia and urea is expected to be strong and profit margins should increase.</w:t>
      </w:r>
    </w:p>
    <w:p>
      <w:pPr>
        <w:pStyle w:val="Normal"/>
        <w:ind w:start="360" w:end="0"/>
        <w:rPr>
          <w:rFonts w:ascii="Arial" w:hAnsi="Arial" w:cs="Arial"/>
          <w:sz w:val="24"/>
        </w:rPr>
      </w:pPr>
      <w:r>
        <w:rPr>
          <w:rFonts w:cs="Arial" w:ascii="Arial" w:hAnsi="Arial"/>
          <w:sz w:val="24"/>
        </w:rPr>
        <w:tab/>
        <w:t>This last year made many believers in the concept of hedging price risk across whole businesses.  As a result, we have had an overwhelming response with the offerings we are positioning Enron to provide to the industry, both agricultural and industrial.  All major producers, without exception, were interested in discussing our ability to manage their product price risk. Intermediaries were also interested in price risk management, as well as, new physical supply options.  Enron Global Market’s out look is excellent.</w:t>
      </w:r>
    </w:p>
    <w:p>
      <w:pPr>
        <w:pStyle w:val="Normal"/>
        <w:ind w:start="360" w:end="0"/>
        <w:rPr>
          <w:rFonts w:ascii="Arial" w:hAnsi="Arial" w:cs="Arial"/>
          <w:sz w:val="24"/>
        </w:rPr>
      </w:pPr>
      <w:r>
        <w:rPr>
          <w:rFonts w:cs="Arial" w:ascii="Arial" w:hAnsi="Arial"/>
          <w:sz w:val="24"/>
        </w:rPr>
        <w:tab/>
        <w:t xml:space="preserve">  </w:t>
      </w:r>
    </w:p>
    <w:p>
      <w:pPr>
        <w:pStyle w:val="Normal"/>
        <w:ind w:start="360" w:end="0"/>
        <w:rPr>
          <w:rFonts w:ascii="Arial" w:hAnsi="Arial" w:cs="Arial"/>
          <w:sz w:val="24"/>
        </w:rPr>
      </w:pPr>
      <w:r>
        <w:rPr>
          <w:rFonts w:cs="Arial" w:ascii="Arial" w:hAnsi="Arial"/>
          <w:sz w:val="24"/>
        </w:rPr>
      </w:r>
    </w:p>
    <w:p>
      <w:pPr>
        <w:pStyle w:val="Normal"/>
        <w:ind w:firstLine="360" w:end="0"/>
        <w:rPr>
          <w:rFonts w:ascii="Arial" w:hAnsi="Arial" w:cs="Arial"/>
          <w:b/>
          <w:sz w:val="24"/>
        </w:rPr>
      </w:pPr>
      <w:r>
        <w:rPr>
          <w:rFonts w:cs="Arial" w:ascii="Arial" w:hAnsi="Arial"/>
          <w:b/>
          <w:sz w:val="24"/>
        </w:rPr>
        <w:t>A.  What we have done.</w:t>
      </w:r>
    </w:p>
    <w:p>
      <w:pPr>
        <w:pStyle w:val="Normal"/>
        <w:rPr>
          <w:rFonts w:ascii="Arial" w:hAnsi="Arial" w:cs="Arial"/>
          <w:b/>
          <w:sz w:val="24"/>
        </w:rPr>
      </w:pPr>
      <w:r>
        <w:rPr>
          <w:rFonts w:cs="Arial" w:ascii="Arial" w:hAnsi="Arial"/>
          <w:b/>
          <w:sz w:val="24"/>
        </w:rPr>
      </w:r>
    </w:p>
    <w:p>
      <w:pPr>
        <w:pStyle w:val="Normal"/>
        <w:numPr>
          <w:ilvl w:val="0"/>
          <w:numId w:val="5"/>
        </w:numPr>
        <w:rPr>
          <w:rFonts w:ascii="Arial" w:hAnsi="Arial" w:cs="Arial"/>
          <w:i/>
          <w:i/>
          <w:sz w:val="24"/>
        </w:rPr>
      </w:pPr>
      <w:r>
        <w:rPr>
          <w:rFonts w:cs="Arial" w:ascii="Arial" w:hAnsi="Arial"/>
          <w:b/>
          <w:bCs/>
          <w:i/>
          <w:sz w:val="24"/>
        </w:rPr>
        <w:t>Execution Plan.</w:t>
      </w:r>
      <w:r>
        <w:rPr>
          <w:rFonts w:cs="Arial" w:ascii="Arial" w:hAnsi="Arial"/>
          <w:b/>
          <w:bCs/>
          <w:sz w:val="24"/>
        </w:rPr>
        <w:t xml:space="preserve">  July 24 – September 15. </w:t>
      </w:r>
    </w:p>
    <w:p>
      <w:pPr>
        <w:pStyle w:val="Normal"/>
        <w:numPr>
          <w:ilvl w:val="0"/>
          <w:numId w:val="9"/>
        </w:numPr>
        <w:rPr>
          <w:rFonts w:ascii="Arial" w:hAnsi="Arial" w:cs="Arial"/>
          <w:i/>
          <w:i/>
          <w:sz w:val="24"/>
        </w:rPr>
      </w:pPr>
      <w:r>
        <w:rPr>
          <w:rFonts w:cs="Arial" w:ascii="Arial" w:hAnsi="Arial"/>
          <w:sz w:val="24"/>
        </w:rPr>
        <w:t>We completed all issues outlined in our original execution plan, with exception of the below, due to Enron external issues:</w:t>
      </w:r>
    </w:p>
    <w:p>
      <w:pPr>
        <w:pStyle w:val="Normal"/>
        <w:numPr>
          <w:ilvl w:val="1"/>
          <w:numId w:val="9"/>
        </w:numPr>
        <w:rPr>
          <w:rFonts w:ascii="Arial" w:hAnsi="Arial" w:cs="Arial"/>
          <w:i/>
          <w:i/>
          <w:sz w:val="24"/>
        </w:rPr>
      </w:pPr>
      <w:r>
        <w:rPr>
          <w:rFonts w:cs="Arial" w:ascii="Arial" w:hAnsi="Arial"/>
          <w:iCs/>
          <w:sz w:val="24"/>
        </w:rPr>
        <w:t>Secure environmental and legal sign off on entering the physical ammonia and urea business.</w:t>
      </w:r>
    </w:p>
    <w:p>
      <w:pPr>
        <w:pStyle w:val="Normal"/>
        <w:ind w:start="1080" w:end="0"/>
        <w:rPr>
          <w:rFonts w:ascii="Arial" w:hAnsi="Arial" w:cs="Arial"/>
          <w:i/>
          <w:i/>
          <w:sz w:val="24"/>
        </w:rPr>
      </w:pPr>
      <w:r>
        <w:rPr>
          <w:rFonts w:cs="Arial" w:ascii="Arial" w:hAnsi="Arial"/>
          <w:i/>
          <w:sz w:val="24"/>
        </w:rPr>
      </w:r>
    </w:p>
    <w:p>
      <w:pPr>
        <w:pStyle w:val="Normal"/>
        <w:ind w:start="1080" w:end="0"/>
        <w:rPr>
          <w:rFonts w:ascii="Arial" w:hAnsi="Arial" w:cs="Arial"/>
          <w:i/>
          <w:i/>
          <w:iCs/>
          <w:sz w:val="24"/>
        </w:rPr>
      </w:pPr>
      <w:r>
        <w:rPr>
          <w:rFonts w:cs="Arial" w:ascii="Arial" w:hAnsi="Arial"/>
          <w:i/>
          <w:iCs/>
          <w:sz w:val="24"/>
        </w:rPr>
      </w:r>
    </w:p>
    <w:p>
      <w:pPr>
        <w:pStyle w:val="Normal"/>
        <w:numPr>
          <w:ilvl w:val="0"/>
          <w:numId w:val="3"/>
        </w:numPr>
        <w:rPr>
          <w:rFonts w:ascii="Arial" w:hAnsi="Arial" w:cs="Arial"/>
          <w:iCs/>
          <w:sz w:val="24"/>
        </w:rPr>
      </w:pPr>
      <w:r>
        <w:rPr>
          <w:rFonts w:cs="Arial" w:ascii="Arial" w:hAnsi="Arial"/>
          <w:b/>
          <w:bCs/>
          <w:iCs/>
          <w:sz w:val="24"/>
        </w:rPr>
        <w:t>What we are doing.</w:t>
      </w:r>
    </w:p>
    <w:p>
      <w:pPr>
        <w:pStyle w:val="Normal"/>
        <w:numPr>
          <w:ilvl w:val="0"/>
          <w:numId w:val="7"/>
        </w:numPr>
        <w:rPr>
          <w:rFonts w:ascii="Arial" w:hAnsi="Arial" w:cs="Arial"/>
          <w:i/>
          <w:i/>
          <w:sz w:val="24"/>
        </w:rPr>
      </w:pPr>
      <w:r>
        <w:rPr>
          <w:rFonts w:cs="Arial" w:ascii="Arial" w:hAnsi="Arial"/>
          <w:iCs/>
          <w:sz w:val="24"/>
        </w:rPr>
        <w:t>Developing market relationships with producers, distributors, retailers and their capabilities that add value to our strategy.</w:t>
      </w:r>
    </w:p>
    <w:p>
      <w:pPr>
        <w:pStyle w:val="Normal"/>
        <w:numPr>
          <w:ilvl w:val="0"/>
          <w:numId w:val="7"/>
        </w:numPr>
        <w:rPr>
          <w:rFonts w:ascii="Arial" w:hAnsi="Arial" w:cs="Arial"/>
          <w:i/>
          <w:i/>
          <w:sz w:val="24"/>
        </w:rPr>
      </w:pPr>
      <w:r>
        <w:rPr>
          <w:rFonts w:cs="Arial" w:ascii="Arial" w:hAnsi="Arial"/>
          <w:iCs/>
          <w:sz w:val="24"/>
        </w:rPr>
        <w:t>Identifying preliminary opportunities to launch us into the market.</w:t>
      </w:r>
    </w:p>
    <w:p>
      <w:pPr>
        <w:pStyle w:val="Normal"/>
        <w:numPr>
          <w:ilvl w:val="0"/>
          <w:numId w:val="7"/>
        </w:numPr>
        <w:rPr>
          <w:rFonts w:ascii="Arial" w:hAnsi="Arial" w:cs="Arial"/>
          <w:i/>
          <w:i/>
          <w:sz w:val="24"/>
        </w:rPr>
      </w:pPr>
      <w:r>
        <w:rPr>
          <w:rFonts w:cs="Arial" w:ascii="Arial" w:hAnsi="Arial"/>
          <w:iCs/>
          <w:sz w:val="24"/>
        </w:rPr>
        <w:t>Developing drafts of forward physical and financial contracts.</w:t>
      </w:r>
    </w:p>
    <w:p>
      <w:pPr>
        <w:pStyle w:val="Normal"/>
        <w:numPr>
          <w:ilvl w:val="1"/>
          <w:numId w:val="7"/>
        </w:numPr>
        <w:rPr>
          <w:rFonts w:ascii="Arial" w:hAnsi="Arial" w:cs="Arial"/>
          <w:i/>
          <w:i/>
          <w:sz w:val="24"/>
        </w:rPr>
      </w:pPr>
      <w:r>
        <w:rPr>
          <w:rFonts w:cs="Arial" w:ascii="Arial" w:hAnsi="Arial"/>
          <w:iCs/>
          <w:sz w:val="24"/>
        </w:rPr>
        <w:t>Receiving support and suggestions from market participants for feasibility and acceptable terms and locations.</w:t>
      </w:r>
    </w:p>
    <w:p>
      <w:pPr>
        <w:pStyle w:val="Normal"/>
        <w:numPr>
          <w:ilvl w:val="0"/>
          <w:numId w:val="7"/>
        </w:numPr>
        <w:rPr>
          <w:rFonts w:ascii="Arial" w:hAnsi="Arial" w:cs="Arial"/>
          <w:i/>
          <w:i/>
          <w:sz w:val="24"/>
        </w:rPr>
      </w:pPr>
      <w:r>
        <w:rPr>
          <w:rFonts w:cs="Arial" w:ascii="Arial" w:hAnsi="Arial"/>
          <w:iCs/>
          <w:sz w:val="24"/>
        </w:rPr>
        <w:t>Developing ammonia and urea book.</w:t>
      </w:r>
    </w:p>
    <w:p>
      <w:pPr>
        <w:pStyle w:val="Normal"/>
        <w:numPr>
          <w:ilvl w:val="0"/>
          <w:numId w:val="7"/>
        </w:numPr>
        <w:rPr>
          <w:rFonts w:ascii="Arial" w:hAnsi="Arial" w:cs="Arial"/>
          <w:i/>
          <w:i/>
          <w:sz w:val="24"/>
        </w:rPr>
      </w:pPr>
      <w:r>
        <w:rPr>
          <w:rFonts w:cs="Arial" w:ascii="Arial" w:hAnsi="Arial"/>
          <w:iCs/>
          <w:sz w:val="24"/>
        </w:rPr>
        <w:t>Recruiting trader.</w:t>
      </w:r>
    </w:p>
    <w:p>
      <w:pPr>
        <w:pStyle w:val="Normal"/>
        <w:numPr>
          <w:ilvl w:val="0"/>
          <w:numId w:val="7"/>
        </w:numPr>
        <w:rPr>
          <w:rFonts w:ascii="Arial" w:hAnsi="Arial" w:cs="Arial"/>
          <w:i/>
          <w:i/>
          <w:sz w:val="24"/>
        </w:rPr>
      </w:pPr>
      <w:r>
        <w:rPr>
          <w:rFonts w:cs="Arial" w:ascii="Arial" w:hAnsi="Arial"/>
          <w:iCs/>
          <w:sz w:val="24"/>
        </w:rPr>
        <w:t>Continuing to work with internal Enron groups for support in execution (legal, PR, marketing, credit, finance, logistics, EOL, HR, tax, credit).</w:t>
      </w:r>
    </w:p>
    <w:p>
      <w:pPr>
        <w:pStyle w:val="Normal"/>
        <w:ind w:start="1080" w:end="0"/>
        <w:rPr>
          <w:rFonts w:ascii="Arial" w:hAnsi="Arial" w:cs="Arial"/>
          <w:i/>
          <w:i/>
          <w:iCs/>
          <w:sz w:val="24"/>
        </w:rPr>
      </w:pPr>
      <w:r>
        <w:rPr>
          <w:rFonts w:cs="Arial" w:ascii="Arial" w:hAnsi="Arial"/>
          <w:i/>
          <w:iCs/>
          <w:sz w:val="24"/>
        </w:rPr>
      </w:r>
    </w:p>
    <w:p>
      <w:pPr>
        <w:pStyle w:val="Normal"/>
        <w:ind w:start="360" w:end="0"/>
        <w:rPr>
          <w:rFonts w:ascii="Arial" w:hAnsi="Arial" w:cs="Arial"/>
          <w:i/>
          <w:i/>
          <w:iCs/>
          <w:sz w:val="24"/>
        </w:rPr>
      </w:pPr>
      <w:r>
        <w:rPr>
          <w:rFonts w:cs="Arial" w:ascii="Arial" w:hAnsi="Arial"/>
          <w:i/>
          <w:iCs/>
          <w:sz w:val="24"/>
        </w:rPr>
      </w:r>
    </w:p>
    <w:p>
      <w:pPr>
        <w:pStyle w:val="Normal"/>
        <w:ind w:start="360" w:end="0"/>
        <w:rPr>
          <w:rFonts w:ascii="Arial" w:hAnsi="Arial" w:cs="Arial"/>
          <w:i/>
          <w:i/>
          <w:sz w:val="24"/>
        </w:rPr>
      </w:pPr>
      <w:r>
        <w:rPr>
          <w:rFonts w:cs="Arial" w:ascii="Arial" w:hAnsi="Arial"/>
          <w:i/>
          <w:sz w:val="24"/>
        </w:rPr>
      </w:r>
    </w:p>
    <w:p>
      <w:pPr>
        <w:pStyle w:val="Normal"/>
        <w:numPr>
          <w:ilvl w:val="0"/>
          <w:numId w:val="2"/>
        </w:numPr>
        <w:rPr>
          <w:rFonts w:ascii="Arial" w:hAnsi="Arial" w:cs="Arial"/>
          <w:i/>
          <w:i/>
          <w:sz w:val="24"/>
        </w:rPr>
      </w:pPr>
      <w:r>
        <w:rPr>
          <w:rFonts w:cs="Arial" w:ascii="Arial" w:hAnsi="Arial"/>
          <w:b/>
          <w:bCs/>
          <w:iCs/>
          <w:sz w:val="24"/>
        </w:rPr>
        <w:t>What needs to be done (priorities).</w:t>
      </w:r>
    </w:p>
    <w:p>
      <w:pPr>
        <w:pStyle w:val="Normal"/>
        <w:rPr>
          <w:rFonts w:ascii="Arial" w:hAnsi="Arial" w:cs="Arial"/>
          <w:b/>
          <w:bCs/>
          <w:i/>
          <w:i/>
          <w:iCs/>
          <w:sz w:val="24"/>
        </w:rPr>
      </w:pPr>
      <w:r>
        <w:rPr>
          <w:rFonts w:cs="Arial" w:ascii="Arial" w:hAnsi="Arial"/>
          <w:b/>
          <w:bCs/>
          <w:i/>
          <w:iCs/>
          <w:sz w:val="24"/>
        </w:rPr>
      </w:r>
    </w:p>
    <w:p>
      <w:pPr>
        <w:pStyle w:val="Normal"/>
        <w:numPr>
          <w:ilvl w:val="0"/>
          <w:numId w:val="8"/>
        </w:numPr>
        <w:rPr>
          <w:rFonts w:ascii="Arial" w:hAnsi="Arial" w:cs="Arial"/>
          <w:i/>
          <w:i/>
          <w:sz w:val="24"/>
        </w:rPr>
      </w:pPr>
      <w:r>
        <w:rPr>
          <w:rFonts w:cs="Arial" w:ascii="Arial" w:hAnsi="Arial"/>
          <w:iCs/>
          <w:sz w:val="24"/>
        </w:rPr>
        <w:t>Legal set-up and approval.</w:t>
      </w:r>
    </w:p>
    <w:p>
      <w:pPr>
        <w:pStyle w:val="Normal"/>
        <w:numPr>
          <w:ilvl w:val="1"/>
          <w:numId w:val="8"/>
        </w:numPr>
        <w:rPr>
          <w:rFonts w:ascii="Arial" w:hAnsi="Arial" w:cs="Arial"/>
          <w:i/>
          <w:i/>
          <w:sz w:val="24"/>
        </w:rPr>
      </w:pPr>
      <w:r>
        <w:rPr>
          <w:rFonts w:cs="Arial" w:ascii="Arial" w:hAnsi="Arial"/>
          <w:iCs/>
          <w:sz w:val="24"/>
        </w:rPr>
        <w:t>Physical and financial.</w:t>
      </w:r>
    </w:p>
    <w:p>
      <w:pPr>
        <w:pStyle w:val="Normal"/>
        <w:numPr>
          <w:ilvl w:val="0"/>
          <w:numId w:val="8"/>
        </w:numPr>
        <w:rPr>
          <w:rFonts w:ascii="Arial" w:hAnsi="Arial" w:cs="Arial"/>
          <w:i/>
          <w:i/>
          <w:sz w:val="24"/>
        </w:rPr>
      </w:pPr>
      <w:r>
        <w:rPr>
          <w:rFonts w:cs="Arial" w:ascii="Arial" w:hAnsi="Arial"/>
          <w:iCs/>
          <w:sz w:val="24"/>
        </w:rPr>
        <w:t xml:space="preserve">Finish ammonia and urea book. </w:t>
      </w:r>
    </w:p>
    <w:p>
      <w:pPr>
        <w:pStyle w:val="Normal"/>
        <w:numPr>
          <w:ilvl w:val="0"/>
          <w:numId w:val="8"/>
        </w:numPr>
        <w:rPr>
          <w:rFonts w:ascii="Arial" w:hAnsi="Arial" w:cs="Arial"/>
          <w:i/>
          <w:i/>
          <w:sz w:val="24"/>
        </w:rPr>
      </w:pPr>
      <w:r>
        <w:rPr>
          <w:rFonts w:cs="Arial" w:ascii="Arial" w:hAnsi="Arial"/>
          <w:iCs/>
          <w:sz w:val="24"/>
        </w:rPr>
        <w:t>Physical and financial contracts complete.</w:t>
      </w:r>
    </w:p>
    <w:p>
      <w:pPr>
        <w:pStyle w:val="Normal"/>
        <w:numPr>
          <w:ilvl w:val="0"/>
          <w:numId w:val="8"/>
        </w:numPr>
        <w:rPr>
          <w:rFonts w:ascii="Arial" w:hAnsi="Arial" w:cs="Arial"/>
          <w:i/>
          <w:i/>
          <w:sz w:val="24"/>
        </w:rPr>
      </w:pPr>
      <w:r>
        <w:rPr>
          <w:rFonts w:cs="Arial" w:ascii="Arial" w:hAnsi="Arial"/>
          <w:iCs/>
          <w:sz w:val="24"/>
        </w:rPr>
        <w:t>Trader on-board</w:t>
      </w:r>
    </w:p>
    <w:p>
      <w:pPr>
        <w:pStyle w:val="Normal"/>
        <w:numPr>
          <w:ilvl w:val="0"/>
          <w:numId w:val="8"/>
        </w:numPr>
        <w:rPr>
          <w:rFonts w:ascii="Arial" w:hAnsi="Arial" w:cs="Arial"/>
          <w:i/>
          <w:i/>
          <w:sz w:val="24"/>
        </w:rPr>
      </w:pPr>
      <w:r>
        <w:rPr>
          <w:rFonts w:cs="Arial" w:ascii="Arial" w:hAnsi="Arial"/>
          <w:iCs/>
          <w:sz w:val="24"/>
        </w:rPr>
        <w:t>Gain a tactical position in the ammonia and urea markets.</w:t>
      </w:r>
    </w:p>
    <w:p>
      <w:pPr>
        <w:pStyle w:val="Normal"/>
        <w:numPr>
          <w:ilvl w:val="1"/>
          <w:numId w:val="8"/>
        </w:numPr>
        <w:rPr>
          <w:rFonts w:ascii="Arial" w:hAnsi="Arial" w:cs="Arial"/>
          <w:i/>
          <w:i/>
          <w:sz w:val="24"/>
        </w:rPr>
      </w:pPr>
      <w:r>
        <w:rPr>
          <w:rFonts w:cs="Arial" w:ascii="Arial" w:hAnsi="Arial"/>
          <w:iCs/>
          <w:sz w:val="24"/>
        </w:rPr>
        <w:t>Hold a responsible physical position with supporting trade capabilities.</w:t>
      </w:r>
    </w:p>
    <w:p>
      <w:pPr>
        <w:pStyle w:val="Normal"/>
        <w:numPr>
          <w:ilvl w:val="0"/>
          <w:numId w:val="8"/>
        </w:numPr>
        <w:rPr>
          <w:rFonts w:ascii="Arial" w:hAnsi="Arial" w:cs="Arial"/>
          <w:i/>
          <w:i/>
          <w:sz w:val="24"/>
        </w:rPr>
      </w:pPr>
      <w:r>
        <w:rPr>
          <w:rFonts w:cs="Arial" w:ascii="Arial" w:hAnsi="Arial"/>
          <w:iCs/>
          <w:sz w:val="24"/>
        </w:rPr>
        <w:t>EOL product offerings.</w:t>
      </w:r>
    </w:p>
    <w:p>
      <w:pPr>
        <w:pStyle w:val="Normal"/>
        <w:numPr>
          <w:ilvl w:val="0"/>
          <w:numId w:val="8"/>
        </w:numPr>
        <w:rPr>
          <w:rFonts w:ascii="Arial" w:hAnsi="Arial" w:cs="Arial"/>
          <w:i/>
          <w:i/>
          <w:sz w:val="24"/>
        </w:rPr>
      </w:pPr>
      <w:r>
        <w:rPr>
          <w:rFonts w:cs="Arial" w:ascii="Arial" w:hAnsi="Arial"/>
          <w:iCs/>
          <w:sz w:val="24"/>
        </w:rPr>
        <w:t>PR and marketing campaign.</w:t>
      </w:r>
    </w:p>
    <w:p>
      <w:pPr>
        <w:pStyle w:val="Normal"/>
        <w:ind w:start="1080" w:end="0"/>
        <w:rPr>
          <w:rFonts w:ascii="Arial" w:hAnsi="Arial" w:cs="Arial"/>
          <w:i/>
          <w:i/>
          <w:iCs/>
          <w:sz w:val="24"/>
        </w:rPr>
      </w:pPr>
      <w:r>
        <w:rPr>
          <w:rFonts w:cs="Arial" w:ascii="Arial" w:hAnsi="Arial"/>
          <w:i/>
          <w:iCs/>
          <w:sz w:val="24"/>
        </w:rPr>
      </w:r>
    </w:p>
    <w:p>
      <w:pPr>
        <w:pStyle w:val="Normal"/>
        <w:numPr>
          <w:ilvl w:val="0"/>
          <w:numId w:val="10"/>
        </w:numPr>
        <w:ind w:hanging="0" w:start="360" w:end="0"/>
        <w:rPr>
          <w:rFonts w:ascii="Arial" w:hAnsi="Arial" w:cs="Arial"/>
          <w:b/>
          <w:bCs/>
          <w:iCs/>
          <w:sz w:val="24"/>
        </w:rPr>
      </w:pPr>
      <w:r>
        <w:rPr>
          <w:rFonts w:cs="Arial" w:ascii="Arial" w:hAnsi="Arial"/>
          <w:b/>
          <w:bCs/>
          <w:iCs/>
          <w:sz w:val="24"/>
        </w:rPr>
        <w:t>See attached timeline.</w:t>
      </w:r>
    </w:p>
    <w:p>
      <w:pPr>
        <w:pStyle w:val="Normal"/>
        <w:numPr>
          <w:ilvl w:val="0"/>
          <w:numId w:val="4"/>
        </w:numPr>
        <w:rPr>
          <w:rFonts w:ascii="Arial" w:hAnsi="Arial" w:cs="Arial"/>
          <w:iCs/>
          <w:sz w:val="24"/>
        </w:rPr>
      </w:pPr>
      <w:r>
        <w:rPr>
          <w:rFonts w:cs="Arial" w:ascii="Arial" w:hAnsi="Arial"/>
          <w:iCs/>
          <w:sz w:val="24"/>
        </w:rPr>
        <w:t>Timing is key!  In addition to the industrial market, in order to benefit from this upcoming fertilizer season we must be positioned to participate starting in February.  The end of February and early March is when product is moved in preparation for spring application. There is a deal making conference the second week of February and we want to actively participate.</w:t>
      </w:r>
    </w:p>
    <w:p>
      <w:pPr>
        <w:pStyle w:val="Normal"/>
        <w:rPr>
          <w:rFonts w:ascii="Arial" w:hAnsi="Arial" w:cs="Arial"/>
          <w:iCs/>
          <w:sz w:val="24"/>
        </w:rPr>
      </w:pPr>
      <w:r>
        <w:rPr>
          <w:rFonts w:cs="Arial" w:ascii="Arial" w:hAnsi="Arial"/>
          <w:iCs/>
          <w:sz w:val="24"/>
        </w:rPr>
      </w:r>
    </w:p>
    <w:p>
      <w:pPr>
        <w:pStyle w:val="Normal"/>
        <w:rPr>
          <w:rFonts w:ascii="Arial" w:hAnsi="Arial" w:cs="Arial"/>
          <w:iCs/>
          <w:sz w:val="24"/>
        </w:rPr>
      </w:pPr>
      <w:r>
        <w:rPr>
          <w:rFonts w:cs="Arial" w:ascii="Arial" w:hAnsi="Arial"/>
          <w:iCs/>
          <w:sz w:val="24"/>
        </w:rPr>
      </w:r>
    </w:p>
    <w:p>
      <w:pPr>
        <w:pStyle w:val="Normal"/>
        <w:rPr>
          <w:rFonts w:ascii="Arial" w:hAnsi="Arial" w:cs="Arial"/>
          <w:iCs/>
          <w:sz w:val="24"/>
        </w:rPr>
      </w:pPr>
      <w:r>
        <w:rPr>
          <w:rFonts w:cs="Arial" w:ascii="Arial" w:hAnsi="Arial"/>
          <w:iCs/>
          <w:sz w:val="24"/>
        </w:rPr>
      </w:r>
    </w:p>
    <w:p>
      <w:pPr>
        <w:pStyle w:val="Normal"/>
        <w:ind w:start="360" w:end="0"/>
        <w:rPr>
          <w:rFonts w:ascii="Arial" w:hAnsi="Arial" w:cs="Arial"/>
          <w:iCs/>
          <w:sz w:val="24"/>
        </w:rPr>
      </w:pPr>
      <w:r>
        <w:rPr>
          <w:rFonts w:cs="Arial" w:ascii="Arial" w:hAnsi="Arial"/>
          <w:iCs/>
          <w:sz w:val="24"/>
        </w:rPr>
      </w:r>
    </w:p>
    <w:p>
      <w:pPr>
        <w:pStyle w:val="Normal"/>
        <w:ind w:start="360" w:end="0"/>
        <w:rPr>
          <w:rFonts w:ascii="Arial" w:hAnsi="Arial" w:eastAsia="Arial" w:cs="Arial"/>
          <w:iCs/>
          <w:sz w:val="24"/>
        </w:rPr>
      </w:pPr>
      <w:r>
        <w:rPr>
          <w:rFonts w:eastAsia="Arial" w:cs="Arial" w:ascii="Arial" w:hAnsi="Arial"/>
          <w:iCs/>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arlett">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bullet"/>
      <w:lvlText w:val=""/>
      <w:lvlJc w:val="start"/>
      <w:pPr>
        <w:tabs>
          <w:tab w:val="num" w:pos="1440"/>
        </w:tabs>
        <w:ind w:start="1440" w:hanging="360"/>
      </w:pPr>
      <w:rPr>
        <w:rFonts w:ascii="Wingdings" w:hAnsi="Wingdings" w:cs="Wingdings" w:hint="default"/>
        <w:sz w:val="16"/>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8">
    <w:lvl w:ilvl="0">
      <w:start w:val="1"/>
      <w:numFmt w:val="bullet"/>
      <w:lvlText w:val=""/>
      <w:lvlJc w:val="start"/>
      <w:pPr>
        <w:tabs>
          <w:tab w:val="num" w:pos="1440"/>
        </w:tabs>
        <w:ind w:start="1440" w:hanging="360"/>
      </w:pPr>
      <w:rPr>
        <w:rFonts w:ascii="Wingdings" w:hAnsi="Wingdings" w:cs="Wingdings" w:hint="default"/>
        <w:sz w:val="16"/>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9">
    <w:lvl w:ilvl="0">
      <w:start w:val="1"/>
      <w:numFmt w:val="bullet"/>
      <w:lvlText w:val=""/>
      <w:lvlJc w:val="start"/>
      <w:pPr>
        <w:tabs>
          <w:tab w:val="num" w:pos="1440"/>
        </w:tabs>
        <w:ind w:start="1440" w:hanging="360"/>
      </w:pPr>
      <w:rPr>
        <w:rFonts w:ascii="Wingdings" w:hAnsi="Wingdings" w:cs="Wingdings" w:hint="default"/>
        <w:sz w:val="16"/>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10">
    <w:lvl w:ilvl="0">
      <w:start w:val="1"/>
      <w:numFmt w:val="bullet"/>
      <w:lvlText w:val=""/>
      <w:lvlJc w:val="start"/>
      <w:pPr>
        <w:tabs>
          <w:tab w:val="num" w:pos="720"/>
        </w:tabs>
        <w:ind w:start="360" w:hanging="360"/>
      </w:pPr>
      <w:rPr>
        <w:rFonts w:ascii="Symbol" w:hAnsi="Symbol" w:cs="Symbol" w:hint="default"/>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ind w:hanging="0" w:start="360" w:end="0"/>
      <w:jc w:val="center"/>
      <w:outlineLvl w:val="1"/>
    </w:pPr>
    <w:rPr>
      <w:rFonts w:ascii="Arial" w:hAnsi="Arial" w:cs="Arial"/>
      <w:b/>
      <w:sz w:val="24"/>
    </w:rPr>
  </w:style>
  <w:style w:type="paragraph" w:styleId="Heading3">
    <w:name w:val="heading 3"/>
    <w:basedOn w:val="Normal"/>
    <w:next w:val="Normal"/>
    <w:qFormat/>
    <w:pPr>
      <w:keepNext w:val="true"/>
      <w:numPr>
        <w:ilvl w:val="2"/>
        <w:numId w:val="1"/>
      </w:numPr>
      <w:ind w:hanging="0" w:start="360" w:end="0"/>
      <w:jc w:val="center"/>
      <w:outlineLvl w:val="2"/>
    </w:pPr>
    <w:rPr>
      <w:rFonts w:ascii="Arial" w:hAnsi="Arial" w:cs="Arial"/>
      <w:b/>
      <w:i/>
      <w:sz w:val="36"/>
    </w:rPr>
  </w:style>
  <w:style w:type="paragraph" w:styleId="Heading4">
    <w:name w:val="heading 4"/>
    <w:basedOn w:val="Normal"/>
    <w:next w:val="Normal"/>
    <w:qFormat/>
    <w:pPr>
      <w:keepNext w:val="true"/>
      <w:numPr>
        <w:ilvl w:val="3"/>
        <w:numId w:val="1"/>
      </w:numPr>
      <w:jc w:val="center"/>
      <w:outlineLvl w:val="3"/>
    </w:pPr>
    <w:rPr>
      <w:rFonts w:ascii="Arial" w:hAnsi="Arial" w:cs="Arial"/>
      <w:b/>
      <w:i/>
      <w:iCs/>
      <w:sz w:val="36"/>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sz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sz w:val="16"/>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b/>
    </w:rPr>
  </w:style>
  <w:style w:type="character" w:styleId="WW8Num14z1">
    <w:name w:val="WW8Num14z1"/>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sz w:val="16"/>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sz w:val="24"/>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Wingdings" w:hAnsi="Wingdings" w:cs="Wingdings"/>
      <w:sz w:val="16"/>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3z1">
    <w:name w:val="WW8Num23z1"/>
    <w:qFormat/>
    <w:rPr>
      <w:rFonts w:ascii="Symbol" w:hAnsi="Symbol" w:cs="Symbol"/>
    </w:rPr>
  </w:style>
  <w:style w:type="character" w:styleId="WW8Num24z0">
    <w:name w:val="WW8Num24z0"/>
    <w:qFormat/>
    <w:rPr>
      <w:rFonts w:ascii="Wingdings" w:hAnsi="Wingdings" w:cs="Wingdings"/>
      <w:sz w:val="16"/>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ingdings" w:hAnsi="Wingdings" w:cs="Wingdings"/>
      <w:sz w:val="16"/>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rFonts w:ascii="Wingdings" w:hAnsi="Wingdings" w:cs="Wingdings"/>
      <w:sz w:val="16"/>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sz w:val="24"/>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style>
  <w:style w:type="character" w:styleId="WW8NumSt6z0">
    <w:name w:val="WW8NumSt6z0"/>
    <w:qFormat/>
    <w:rPr>
      <w:rFonts w:ascii="Symbol" w:hAnsi="Symbol" w:cs="Symbol"/>
    </w:rPr>
  </w:style>
  <w:style w:type="character" w:styleId="WW8NumSt11z0">
    <w:name w:val="WW8NumSt11z0"/>
    <w:qFormat/>
    <w:rPr>
      <w:rFonts w:ascii="Marlett" w:hAnsi="Marlett" w:cs="Marlett"/>
      <w:sz w:val="28"/>
    </w:rPr>
  </w:style>
  <w:style w:type="character" w:styleId="WW8NumSt35z0">
    <w:name w:val="WW8NumSt35z0"/>
    <w:qFormat/>
    <w:rPr>
      <w:rFonts w:ascii="Arial" w:hAnsi="Arial" w:cs="Arial"/>
      <w:sz w:val="24"/>
    </w:rPr>
  </w:style>
  <w:style w:type="character" w:styleId="DefaultParagraphFont">
    <w:name w:val="Default Paragraph Font"/>
    <w:qFormat/>
    <w:rPr/>
  </w:style>
  <w:style w:type="character" w:styleId="Emphasis">
    <w:name w:val="Emphasis"/>
    <w:basedOn w:val="DefaultParagraphFont"/>
    <w:qFormat/>
    <w:rPr>
      <w:i/>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Arial" w:hAnsi="Arial" w:cs="Arial"/>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2001-10-10T12:27:00Z</dcterms:created>
  <dc:creator>marc j distefano</dc:creator>
  <dc:description/>
  <dc:language>en-CA</dc:language>
  <cp:lastModifiedBy>rkrotee</cp:lastModifiedBy>
  <cp:lastPrinted>2001-07-30T15:32:00Z</cp:lastPrinted>
  <dcterms:modified xsi:type="dcterms:W3CDTF">2001-10-11T13:41:00Z</dcterms:modified>
  <cp:revision>14</cp:revision>
  <dc:subject/>
  <dc:title>Great Plains Engineering, Inc</dc:title>
</cp:coreProperties>
</file>