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s>
        <w:rPr>
          <w:b/>
          <w:bCs/>
          <w:sz w:val="24"/>
          <w:u w:val="single"/>
        </w:rPr>
      </w:pPr>
      <w:r>
        <w:rPr>
          <w:b/>
          <w:bCs/>
          <w:sz w:val="24"/>
          <w:u w:val="single"/>
        </w:rPr>
      </w:r>
    </w:p>
    <w:p>
      <w:pPr>
        <w:pStyle w:val="Normal"/>
        <w:widowControl/>
        <w:tabs>
          <w:tab w:val="clear" w:pos="720"/>
          <w:tab w:val="left" w:pos="1440" w:leader="none"/>
        </w:tabs>
        <w:rPr>
          <w:b/>
          <w:bCs/>
          <w:sz w:val="24"/>
          <w:u w:val="single"/>
        </w:rPr>
      </w:pPr>
      <w:r>
        <w:rPr>
          <w:b/>
          <w:bCs/>
          <w:sz w:val="24"/>
          <w:u w:val="single"/>
        </w:rPr>
      </w:r>
    </w:p>
    <w:p>
      <w:pPr>
        <w:pStyle w:val="Normal"/>
        <w:widowControl/>
        <w:tabs>
          <w:tab w:val="clear" w:pos="720"/>
          <w:tab w:val="left" w:pos="1440" w:leader="none"/>
        </w:tabs>
        <w:rPr>
          <w:b/>
          <w:bCs/>
          <w:sz w:val="24"/>
          <w:u w:val="single"/>
        </w:rPr>
      </w:pPr>
      <w:r>
        <w:rPr>
          <w:b/>
          <w:bCs/>
          <w:sz w:val="24"/>
          <w:u w:val="single"/>
        </w:rPr>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rPr>
          <w:sz w:val="24"/>
        </w:rPr>
      </w:pPr>
      <w:r>
        <w:rPr>
          <w:sz w:val="24"/>
        </w:rPr>
        <w:tab/>
        <w:tab/>
        <w:tab/>
        <w:tab/>
        <w:tab/>
        <w:tab/>
        <w:t>October __, 2001</w:t>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rPr>
          <w:sz w:val="24"/>
        </w:rPr>
      </w:pPr>
      <w:r>
        <w:rPr>
          <w:sz w:val="24"/>
        </w:rPr>
        <w:t>Goldman, Sachs &amp; Co.</w:t>
      </w:r>
    </w:p>
    <w:p>
      <w:pPr>
        <w:pStyle w:val="Normal"/>
        <w:widowControl/>
        <w:tabs>
          <w:tab w:val="clear" w:pos="720"/>
          <w:tab w:val="left" w:pos="1440" w:leader="none"/>
        </w:tabs>
        <w:rPr>
          <w:sz w:val="24"/>
        </w:rPr>
      </w:pPr>
      <w:r>
        <w:rPr>
          <w:sz w:val="24"/>
        </w:rPr>
        <w:t>One New York Plaza, 48th Floor</w:t>
      </w:r>
    </w:p>
    <w:p>
      <w:pPr>
        <w:pStyle w:val="Normal"/>
        <w:widowControl/>
        <w:tabs>
          <w:tab w:val="clear" w:pos="720"/>
          <w:tab w:val="left" w:pos="1440" w:leader="none"/>
        </w:tabs>
        <w:rPr>
          <w:sz w:val="24"/>
        </w:rPr>
      </w:pPr>
      <w:r>
        <w:rPr>
          <w:sz w:val="24"/>
        </w:rPr>
        <w:t>New York, NY  10004</w:t>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ind w:firstLine="1440" w:end="0"/>
        <w:rPr/>
      </w:pPr>
      <w:r>
        <w:rPr>
          <w:sz w:val="24"/>
        </w:rPr>
        <w:t>Re:</w:t>
        <w:tab/>
      </w:r>
      <w:r>
        <w:rPr>
          <w:sz w:val="24"/>
          <w:u w:val="single"/>
        </w:rPr>
        <w:t>Position Transfers</w:t>
      </w:r>
    </w:p>
    <w:p>
      <w:pPr>
        <w:pStyle w:val="Normal"/>
        <w:widowControl/>
        <w:tabs>
          <w:tab w:val="clear" w:pos="720"/>
          <w:tab w:val="left" w:pos="1440" w:leader="none"/>
        </w:tabs>
        <w:ind w:firstLine="1440" w:end="0"/>
        <w:rPr>
          <w:sz w:val="24"/>
          <w:u w:val="single"/>
        </w:rPr>
      </w:pPr>
      <w:r>
        <w:rPr>
          <w:sz w:val="24"/>
          <w:u w:val="single"/>
        </w:rPr>
      </w:r>
    </w:p>
    <w:p>
      <w:pPr>
        <w:pStyle w:val="Normal"/>
        <w:widowControl/>
        <w:tabs>
          <w:tab w:val="clear" w:pos="720"/>
          <w:tab w:val="left" w:pos="1440" w:leader="none"/>
        </w:tabs>
        <w:rPr>
          <w:sz w:val="24"/>
        </w:rPr>
      </w:pPr>
      <w:r>
        <w:rPr>
          <w:sz w:val="24"/>
        </w:rPr>
        <w:t>Dear Sir/Madam:</w:t>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ind w:firstLine="1440" w:end="0"/>
        <w:rPr/>
      </w:pPr>
      <w:r>
        <w:rPr>
          <w:sz w:val="24"/>
        </w:rPr>
        <w:t xml:space="preserve">On ________________, 2001, </w:t>
      </w:r>
      <w:r>
        <w:rPr>
          <w:sz w:val="24"/>
          <w:szCs w:val="20"/>
        </w:rPr>
        <w:t xml:space="preserve">__________________ </w:t>
      </w:r>
      <w:r>
        <w:rPr>
          <w:sz w:val="24"/>
        </w:rPr>
        <w:t xml:space="preserve">the "Adviser"), acting as investment adviser for each of (i) _____________________("Fund A") and (ii)______________________ ("Fund B"), caused the transfer of the portfolio securities positions (including long positions, short positions and Rule 144A positions) listed on Appendix A, attached hereto (the "Positions"), which were beneficially owned by Fund A, to Fund B.  </w:t>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ind w:firstLine="1440" w:end="0"/>
        <w:rPr>
          <w:sz w:val="24"/>
        </w:rPr>
      </w:pPr>
      <w:r>
        <w:rPr>
          <w:sz w:val="24"/>
        </w:rPr>
        <w:t xml:space="preserve">At the time of the transfer of the Positions, the Adviser instructed Goldman, Sachs &amp; Co. (“GS&amp;Co”), acting strictly in its capacity as custodian of certain assets of Fund A and Fund B, to transfer the Positions from the prime brokerage account of Fund A at GS&amp;Co (account number _____________) to the prime brokerage account of Fund B at GS&amp;Co (account number _______________).  </w:t>
      </w:r>
    </w:p>
    <w:p>
      <w:pPr>
        <w:pStyle w:val="Normal"/>
        <w:widowControl/>
        <w:tabs>
          <w:tab w:val="clear" w:pos="720"/>
          <w:tab w:val="left" w:pos="1440" w:leader="none"/>
        </w:tabs>
        <w:ind w:firstLine="1440" w:end="0"/>
        <w:rPr>
          <w:sz w:val="24"/>
        </w:rPr>
      </w:pPr>
      <w:r>
        <w:rPr>
          <w:sz w:val="24"/>
        </w:rPr>
      </w:r>
    </w:p>
    <w:p>
      <w:pPr>
        <w:pStyle w:val="Normal"/>
        <w:widowControl/>
        <w:tabs>
          <w:tab w:val="clear" w:pos="720"/>
          <w:tab w:val="left" w:pos="1440" w:leader="none"/>
        </w:tabs>
        <w:ind w:firstLine="1440" w:end="0"/>
        <w:rPr>
          <w:sz w:val="24"/>
        </w:rPr>
      </w:pPr>
      <w:r>
        <w:rPr>
          <w:sz w:val="24"/>
        </w:rPr>
        <w:t>In connection with these transfers, the Adviser hereby certify that:</w:t>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ind w:hanging="720" w:start="2160" w:end="0"/>
        <w:rPr/>
      </w:pPr>
      <w:r>
        <w:rPr>
          <w:sz w:val="24"/>
        </w:rPr>
        <w:t>(1)</w:t>
        <w:tab/>
        <w:t xml:space="preserve">The Adviser has not received, and will not receive, any compensation in connection with the transfers of the Positions, either directly or indirectly (other than an advisory fee that is </w:t>
      </w:r>
      <w:r>
        <w:rPr>
          <w:sz w:val="24"/>
          <w:u w:val="single"/>
        </w:rPr>
        <w:t>not</w:t>
      </w:r>
      <w:r>
        <w:rPr>
          <w:sz w:val="24"/>
        </w:rPr>
        <w:t xml:space="preserve"> based on the transfers);</w:t>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ind w:hanging="720" w:start="2160" w:end="0"/>
        <w:rPr/>
      </w:pPr>
      <w:r>
        <w:rPr>
          <w:sz w:val="24"/>
        </w:rPr>
        <w:t>(2)</w:t>
        <w:tab/>
        <w:t xml:space="preserve">The Adviser has determined to cause the transfers of the Positions solely based on the </w:t>
      </w:r>
      <w:r>
        <w:rPr>
          <w:i/>
          <w:iCs/>
          <w:sz w:val="24"/>
        </w:rPr>
        <w:t>bona fide</w:t>
      </w:r>
      <w:r>
        <w:rPr>
          <w:sz w:val="24"/>
        </w:rPr>
        <w:t xml:space="preserve"> interests of each of Fund A and Fund B, and the transfers are not intended to benefit either of Fund A or Fund B at the expense of the other, or otherwise disadvantage either of Fund A or Fund B;</w:t>
      </w:r>
    </w:p>
    <w:p>
      <w:pPr>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pP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ind w:hanging="720" w:start="2160" w:end="0"/>
        <w:rPr>
          <w:sz w:val="24"/>
        </w:rPr>
      </w:pPr>
      <w:r>
        <w:rPr>
          <w:sz w:val="24"/>
        </w:rPr>
        <w:t>(3)</w:t>
        <w:tab/>
        <w:t xml:space="preserve">The transfers of the Positions are  consistent in all material respects with the disclosure provided to the investors in Fund A and Fund B; there is no material misstatement or omission in such disclosure; and the transfers are consistent with the authority granted by Fund A and Fund B to the Adviser, and otherwise are consistent with the Adviser’s fiduciary duties to its advisory clients; </w:t>
      </w:r>
    </w:p>
    <w:p>
      <w:pPr>
        <w:pStyle w:val="Normal"/>
        <w:widowControl/>
        <w:tabs>
          <w:tab w:val="clear" w:pos="720"/>
          <w:tab w:val="left" w:pos="1440" w:leader="none"/>
        </w:tabs>
        <w:rPr>
          <w:sz w:val="24"/>
        </w:rPr>
      </w:pPr>
      <w:r>
        <w:rPr>
          <w:sz w:val="24"/>
        </w:rPr>
      </w:r>
    </w:p>
    <w:p>
      <w:pPr>
        <w:pStyle w:val="BodyTextIndent"/>
        <w:rPr/>
      </w:pPr>
      <w:r>
        <w:rPr/>
        <w:t>(4)</w:t>
        <w:tab/>
        <w:t>The transfers of the Positions comply with the registration provisions of the Securities Act of 1933 and with the rules of any exchange upon which the Positions are listed; and</w:t>
      </w:r>
    </w:p>
    <w:p>
      <w:pPr>
        <w:pStyle w:val="Normal"/>
        <w:widowControl/>
        <w:tabs>
          <w:tab w:val="clear" w:pos="720"/>
          <w:tab w:val="left" w:pos="1440" w:leader="none"/>
        </w:tabs>
        <w:rPr>
          <w:sz w:val="24"/>
        </w:rPr>
      </w:pPr>
      <w:r>
        <w:rPr>
          <w:sz w:val="24"/>
        </w:rPr>
      </w:r>
    </w:p>
    <w:p>
      <w:pPr>
        <w:pStyle w:val="BodyText"/>
        <w:ind w:hanging="1440" w:start="2160" w:end="0"/>
        <w:rPr/>
      </w:pPr>
      <w:r>
        <w:rPr/>
        <w:tab/>
        <w:t>(5)</w:t>
        <w:tab/>
        <w:t xml:space="preserve">Neither Fund A nor Fund B is an “employee benefit plan” subject to fiduciary responsibility provisions of the Employee Retirement Income Security Act of 1974, as amended, or a “plan” as defined in Section 4975 of the Internal Revenue Code of 1986, as amended, and no more than 25 percent of the value of interests in Fund A or Fund B is held by benefit plan investors.  </w:t>
      </w:r>
    </w:p>
    <w:p>
      <w:pPr>
        <w:pStyle w:val="Normal"/>
        <w:widowControl/>
        <w:tabs>
          <w:tab w:val="clear" w:pos="720"/>
          <w:tab w:val="left" w:pos="1440" w:leader="none"/>
        </w:tabs>
        <w:rPr>
          <w:sz w:val="24"/>
        </w:rPr>
      </w:pPr>
      <w:r>
        <w:rPr>
          <w:sz w:val="24"/>
        </w:rPr>
      </w:r>
    </w:p>
    <w:p>
      <w:pPr>
        <w:pStyle w:val="Normal"/>
        <w:widowControl/>
        <w:tabs>
          <w:tab w:val="clear" w:pos="720"/>
          <w:tab w:val="left" w:pos="1440" w:leader="none"/>
        </w:tabs>
        <w:ind w:firstLine="4320" w:end="0"/>
        <w:rPr>
          <w:sz w:val="24"/>
        </w:rPr>
      </w:pPr>
      <w:r>
        <w:rPr>
          <w:sz w:val="24"/>
        </w:rPr>
        <w:t>Very truly yours,</w:t>
      </w:r>
    </w:p>
    <w:p>
      <w:pPr>
        <w:pStyle w:val="Normal"/>
        <w:widowControl/>
        <w:tabs>
          <w:tab w:val="clear" w:pos="720"/>
          <w:tab w:val="left" w:pos="1440" w:leader="none"/>
        </w:tabs>
        <w:ind w:firstLine="4320" w:end="0"/>
        <w:rPr>
          <w:sz w:val="24"/>
        </w:rPr>
      </w:pPr>
      <w:r>
        <w:rPr>
          <w:sz w:val="24"/>
        </w:rPr>
      </w:r>
    </w:p>
    <w:p>
      <w:pPr>
        <w:pStyle w:val="Normal"/>
        <w:widowControl/>
        <w:tabs>
          <w:tab w:val="clear" w:pos="720"/>
          <w:tab w:val="left" w:pos="1440" w:leader="none"/>
        </w:tabs>
        <w:rPr>
          <w:sz w:val="24"/>
        </w:rPr>
      </w:pPr>
      <w:r>
        <w:rPr>
          <w:sz w:val="24"/>
        </w:rPr>
        <w:tab/>
        <w:tab/>
        <w:tab/>
        <w:tab/>
        <w:tab/>
      </w:r>
    </w:p>
    <w:sectPr>
      <w:type w:val="continuous"/>
      <w:pgSz w:w="12240" w:h="15840"/>
      <w:pgMar w:left="1440" w:right="1440" w:gutter="0" w:header="0" w:top="1440" w:footer="1440" w:bottom="14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440" w:leader="none"/>
      </w:tabs>
      <w:ind w:hanging="720" w:start="21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2001-10-22T14:08:00Z</dcterms:created>
  <dc:creator>5137</dc:creator>
  <dc:description/>
  <dc:language>en-CA</dc:language>
  <cp:lastModifiedBy>Authorized User</cp:lastModifiedBy>
  <cp:lastPrinted>2001-10-10T11:35:00Z</cp:lastPrinted>
  <dcterms:modified xsi:type="dcterms:W3CDTF">2001-10-22T14:12:00Z</dcterms:modified>
  <cp:revision>5</cp:revision>
  <dc:subject>WCPDT2K</dc:subject>
  <dc:title>WCP6: 68128/1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JOSEPHINE FREDERICKS</vt:lpwstr>
  </property>
  <property fmtid="{D5CDD505-2E9C-101B-9397-08002B2CF9AE}" pid="3" name="ClientName">
    <vt:lpwstr>GOLDMAN SACHS &amp; CO.</vt:lpwstr>
  </property>
  <property fmtid="{D5CDD505-2E9C-101B-9397-08002B2CF9AE}" pid="4" name="ClientNumber">
    <vt:lpwstr>321600</vt:lpwstr>
  </property>
  <property fmtid="{D5CDD505-2E9C-101B-9397-08002B2CF9AE}" pid="5" name="CreatedBy">
    <vt:lpwstr>5137</vt:lpwstr>
  </property>
  <property fmtid="{D5CDD505-2E9C-101B-9397-08002B2CF9AE}" pid="6" name="CreatedByName">
    <vt:lpwstr>JOSEPHINE FREDERICKS</vt:lpwstr>
  </property>
  <property fmtid="{D5CDD505-2E9C-101B-9397-08002B2CF9AE}" pid="7" name="Delete">
    <vt:bool>0</vt:bool>
  </property>
  <property fmtid="{D5CDD505-2E9C-101B-9397-08002B2CF9AE}" pid="8" name="DocNumber">
    <vt:lpwstr/>
  </property>
  <property fmtid="{D5CDD505-2E9C-101B-9397-08002B2CF9AE}" pid="9" name="Final">
    <vt:bool>0</vt:bool>
  </property>
  <property fmtid="{D5CDD505-2E9C-101B-9397-08002B2CF9AE}" pid="10" name="JurisCat">
    <vt:lpwstr/>
  </property>
  <property fmtid="{D5CDD505-2E9C-101B-9397-08002B2CF9AE}" pid="11" name="Jurisdiction">
    <vt:lpwstr/>
  </property>
  <property fmtid="{D5CDD505-2E9C-101B-9397-08002B2CF9AE}" pid="12" name="Litigation">
    <vt:bool>0</vt:bool>
  </property>
  <property fmtid="{D5CDD505-2E9C-101B-9397-08002B2CF9AE}" pid="13" name="MatterName">
    <vt:lpwstr/>
  </property>
  <property fmtid="{D5CDD505-2E9C-101B-9397-08002B2CF9AE}" pid="14" name="MatterNumber">
    <vt:lpwstr>0036</vt:lpwstr>
  </property>
  <property fmtid="{D5CDD505-2E9C-101B-9397-08002B2CF9AE}" pid="15" name="OffLine">
    <vt:bool>0</vt:bool>
  </property>
  <property fmtid="{D5CDD505-2E9C-101B-9397-08002B2CF9AE}" pid="16" name="Research">
    <vt:bool>0</vt:bool>
  </property>
  <property fmtid="{D5CDD505-2E9C-101B-9397-08002B2CF9AE}" pid="17" name="SSDataSet">
    <vt:lpwstr/>
  </property>
  <property fmtid="{D5CDD505-2E9C-101B-9397-08002B2CF9AE}" pid="18" name="SpecialCollection">
    <vt:lpwstr/>
  </property>
  <property fmtid="{D5CDD505-2E9C-101B-9397-08002B2CF9AE}" pid="19" name="Transaction">
    <vt:bool>0</vt:bool>
  </property>
  <property fmtid="{D5CDD505-2E9C-101B-9397-08002B2CF9AE}" pid="20" name="WPDocType1">
    <vt:lpwstr/>
  </property>
  <property fmtid="{D5CDD505-2E9C-101B-9397-08002B2CF9AE}" pid="21" name="WPDocType2">
    <vt:lpwstr/>
  </property>
  <property fmtid="{D5CDD505-2E9C-101B-9397-08002B2CF9AE}" pid="22" name="WorkProduct">
    <vt:bool>0</vt:bool>
  </property>
</Properties>
</file>