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_rels/header3.xml.rels" ContentType="application/vnd.openxmlformats-package.relationships+xml"/>
  <Override PartName="/word/_rels/header4.xml.rels" ContentType="application/vnd.openxmlformats-package.relationships+xml"/>
  <Override PartName="/word/footnotes.xml" ContentType="application/vnd.openxmlformats-officedocument.wordprocessingml.footnotes+xml"/>
  <Override PartName="/word/header4.xml" ContentType="application/vnd.openxmlformats-officedocument.wordprocessingml.header+xml"/>
  <Override PartName="/word/footer4.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media/image1.png" ContentType="image/png"/>
  <Override PartName="/word/media/image2.wmf" ContentType="image/x-wmf"/>
  <Override PartName="/word/embeddings/oleObject1.xlsx" ContentType="application/vnd.openxmlformats-officedocument.spreadsheetml.sheet"/>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
        <w:numPr>
          <w:ilvl w:val="0"/>
          <w:numId w:val="0"/>
        </w:numPr>
        <w:outlineLvl w:val="0"/>
        <w:rPr>
          <w:color w:val="800080"/>
        </w:rPr>
      </w:pPr>
      <w:r>
        <w:rPr>
          <w:color w:val="800080"/>
        </w:rPr>
        <w:fldChar w:fldCharType="begin"/>
      </w:r>
      <w:r>
        <w:rPr>
          <w:color w:val="800080"/>
        </w:rPr>
        <w:instrText xml:space="preserve"> TITLE </w:instrText>
      </w:r>
      <w:r>
        <w:rPr>
          <w:color w:val="800080"/>
        </w:rPr>
        <w:fldChar w:fldCharType="separate"/>
      </w:r>
      <w:r>
        <w:rPr>
          <w:color w:val="800080"/>
        </w:rPr>
        <w:t>Placement Model v1.0</w:t>
      </w:r>
      <w:r>
        <w:rPr>
          <w:color w:val="800080"/>
        </w:rPr>
        <w:fldChar w:fldCharType="end"/>
      </w:r>
    </w:p>
    <w:p>
      <w:pPr>
        <w:pStyle w:val="Hidden"/>
        <w:rPr/>
      </w:pPr>
      <w:r>
        <w:rPr/>
        <w:t>Change ‘Project Name’ amending ‘Project Title’ using File/Properties menu. This will reflect in the footer too</w:t>
      </w:r>
    </w:p>
    <w:p>
      <w:pPr>
        <w:pStyle w:val="Normal"/>
        <w:jc w:val="center"/>
        <w:rPr>
          <w:rFonts w:ascii="Arial" w:hAnsi="Arial" w:cs="Arial"/>
          <w:sz w:val="36"/>
        </w:rPr>
      </w:pPr>
      <w:r>
        <mc:AlternateContent>
          <mc:Choice Requires="wps">
            <w:drawing>
              <wp:anchor behindDoc="0" distT="0" distB="0" distL="114935" distR="114935" simplePos="0" locked="0" layoutInCell="1" allowOverlap="1" relativeHeight="12">
                <wp:simplePos x="0" y="0"/>
                <wp:positionH relativeFrom="column">
                  <wp:posOffset>5211445</wp:posOffset>
                </wp:positionH>
                <wp:positionV relativeFrom="paragraph">
                  <wp:posOffset>175895</wp:posOffset>
                </wp:positionV>
                <wp:extent cx="4514215" cy="5888355"/>
                <wp:effectExtent l="0" t="0" r="0" b="0"/>
                <wp:wrapNone/>
                <wp:docPr id="1" name=""/>
                <a:graphic xmlns:a="http://schemas.openxmlformats.org/drawingml/2006/main">
                  <a:graphicData uri="http://schemas.microsoft.com/office/word/2010/wordprocessingShape">
                    <wps:wsp>
                      <wps:cNvSpPr txBox="1"/>
                      <wps:spPr>
                        <a:xfrm rot="10800000">
                          <a:off x="0" y="0"/>
                          <a:ext cx="4514040" cy="5888520"/>
                        </a:xfrm>
                        <a:prstGeom prst="rect">
                          <a:avLst/>
                        </a:prstGeom>
                        <a:noFill/>
                        <a:ln w="0">
                          <a:noFill/>
                        </a:ln>
                      </wps:spPr>
                      <wps:txbx>
                        <w:txbxContent>
                          <w:p>
                            <w:pPr>
                              <w:overflowPunct w:val="false"/>
                              <w:bidi w:val="0"/>
                              <w:rPr/>
                            </w:pPr>
                            <w:r>
                              <w:rPr>
                                <w:kern w:val="2"/>
                                <w:sz w:val="72"/>
                                <w:szCs w:val="20"/>
                                <w:rFonts w:ascii="Arial" w:hAnsi="Arial" w:eastAsia="Times New Roman" w:cs="Arial"/>
                                <w:color w:val="808080"/>
                                <w:lang w:val="en-GB" w:bidi="ar-SA"/>
                              </w:rPr>
                              <w:t>Discussion Document</w:t>
                            </w:r>
                          </w:p>
                        </w:txbxContent>
                      </wps:txbx>
                      <wps:bodyPr wrap="square" lIns="45720" rIns="45720" tIns="91440" bIns="91440" anchor="ctr">
                        <a:noAutofit/>
                      </wps:bodyPr>
                    </wps:wsp>
                  </a:graphicData>
                </a:graphic>
              </wp:anchor>
            </w:drawing>
          </mc:Choice>
          <mc:Fallback>
            <w:pict>
              <v:shapetype id="_x0000_t202" coordsize="21600,21600" o:spt="202" path="m,l,21600l21600,21600l21600,xe">
                <v:stroke joinstyle="miter"/>
                <v:path gradientshapeok="t" o:connecttype="rect"/>
              </v:shapetype>
              <v:shape id="shape_0" stroked="f" o:allowincell="f" style="position:absolute;margin-left:410.35pt;margin-top:13.85pt;width:355.4pt;height:463.6pt;mso-wrap-style:none;v-text-anchor:middle;rotation:180" type="_x0000_t202">
                <v:textbox>
                  <w:txbxContent>
                    <w:p>
                      <w:pPr>
                        <w:overflowPunct w:val="false"/>
                        <w:bidi w:val="0"/>
                        <w:rPr/>
                      </w:pPr>
                      <w:r>
                        <w:rPr>
                          <w:kern w:val="2"/>
                          <w:sz w:val="72"/>
                          <w:szCs w:val="20"/>
                          <w:rFonts w:ascii="Arial" w:hAnsi="Arial" w:eastAsia="Times New Roman" w:cs="Arial"/>
                          <w:color w:val="808080"/>
                          <w:lang w:val="en-GB" w:bidi="ar-SA"/>
                        </w:rPr>
                        <w:t>Discussion Document</w:t>
                      </w:r>
                    </w:p>
                  </w:txbxContent>
                </v:textbox>
                <v:fill o:detectmouseclick="t" on="false"/>
                <v:stroke color="#3465a4" joinstyle="round" endcap="flat"/>
                <w10:wrap type="none"/>
              </v:shape>
            </w:pict>
          </mc:Fallback>
        </mc:AlternateContent>
      </w:r>
      <w:r>
        <w:rPr>
          <w:rFonts w:cs="Arial" w:ascii="Arial" w:hAnsi="Arial"/>
          <w:sz w:val="36"/>
        </w:rPr>
        <w:t>Discussion Document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Arial" w:hAnsi="Arial" w:cs="Arial"/>
          <w:sz w:val="48"/>
        </w:rPr>
      </w:pPr>
      <w:r>
        <w:rPr/>
        <w:drawing>
          <wp:inline distT="0" distB="0" distL="0" distR="0">
            <wp:extent cx="2188210" cy="2194560"/>
            <wp:effectExtent l="0" t="0" r="0" b="0"/>
            <wp:docPr id="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title=""/>
                    <pic:cNvPicPr>
                      <a:picLocks noChangeAspect="1" noChangeArrowheads="1"/>
                    </pic:cNvPicPr>
                  </pic:nvPicPr>
                  <pic:blipFill>
                    <a:blip r:embed="rId2"/>
                    <a:srcRect l="-39" t="-39" r="-39" b="-39"/>
                    <a:stretch>
                      <a:fillRect/>
                    </a:stretch>
                  </pic:blipFill>
                  <pic:spPr bwMode="auto">
                    <a:xfrm>
                      <a:off x="0" y="0"/>
                      <a:ext cx="2188210" cy="2194560"/>
                    </a:xfrm>
                    <a:prstGeom prst="rect">
                      <a:avLst/>
                    </a:prstGeom>
                    <a:noFill/>
                  </pic:spPr>
                </pic:pic>
              </a:graphicData>
            </a:graphic>
          </wp:inline>
        </w:drawing>
      </w:r>
    </w:p>
    <w:p>
      <w:pPr>
        <w:pStyle w:val="Normal"/>
        <w:rPr>
          <w:rFonts w:ascii="Arial" w:hAnsi="Arial" w:cs="Arial"/>
          <w:sz w:val="48"/>
        </w:rPr>
      </w:pPr>
      <w:r>
        <w:rPr>
          <w:rFonts w:cs="Arial" w:ascii="Arial" w:hAnsi="Arial"/>
          <w:sz w:val="48"/>
        </w:rPr>
      </w:r>
    </w:p>
    <w:p>
      <w:pPr>
        <w:pStyle w:val="Normal"/>
        <w:rPr>
          <w:rFonts w:ascii="Arial" w:hAnsi="Arial" w:cs="Arial"/>
          <w:sz w:val="48"/>
        </w:rPr>
      </w:pPr>
      <w:r>
        <w:rPr>
          <w:rFonts w:cs="Arial" w:ascii="Arial" w:hAnsi="Arial"/>
          <w:sz w:val="48"/>
        </w:rPr>
      </w:r>
    </w:p>
    <w:p>
      <w:pPr>
        <w:pStyle w:val="Normal"/>
        <w:rPr>
          <w:rFonts w:ascii="Arial" w:hAnsi="Arial" w:cs="Arial"/>
          <w:sz w:val="48"/>
        </w:rPr>
      </w:pPr>
      <w:r>
        <w:rPr>
          <w:rFonts w:cs="Arial" w:ascii="Arial" w:hAnsi="Arial"/>
          <w:sz w:val="48"/>
        </w:rPr>
      </w:r>
    </w:p>
    <w:p>
      <w:pPr>
        <w:pStyle w:val="Normal"/>
        <w:rPr>
          <w:rFonts w:ascii="Arial" w:hAnsi="Arial" w:cs="Arial"/>
          <w:sz w:val="48"/>
        </w:rPr>
      </w:pPr>
      <w:r>
        <w:rPr>
          <w:rFonts w:cs="Arial" w:ascii="Arial" w:hAnsi="Arial"/>
          <w:sz w:val="48"/>
        </w:rPr>
      </w:r>
    </w:p>
    <w:p>
      <w:pPr>
        <w:pStyle w:val="Normal"/>
        <w:rPr>
          <w:rFonts w:ascii="Arial" w:hAnsi="Arial" w:cs="Arial"/>
          <w:sz w:val="48"/>
        </w:rPr>
      </w:pPr>
      <w:r>
        <w:rPr>
          <w:rFonts w:cs="Arial" w:ascii="Arial" w:hAnsi="Arial"/>
          <w:sz w:val="48"/>
        </w:rPr>
      </w:r>
    </w:p>
    <w:p>
      <w:pPr>
        <w:pStyle w:val="Normal"/>
        <w:rPr>
          <w:rFonts w:ascii="Arial" w:hAnsi="Arial" w:cs="Arial"/>
          <w:sz w:val="48"/>
        </w:rPr>
      </w:pPr>
      <w:r>
        <w:rPr>
          <w:rFonts w:cs="Arial" w:ascii="Arial" w:hAnsi="Arial"/>
          <w:sz w:val="48"/>
        </w:rPr>
      </w:r>
    </w:p>
    <w:p>
      <w:pPr>
        <w:pStyle w:val="Normal"/>
        <w:rPr>
          <w:rFonts w:ascii="Arial" w:hAnsi="Arial" w:cs="Arial"/>
          <w:sz w:val="48"/>
        </w:rPr>
      </w:pPr>
      <w:r>
        <w:rPr>
          <w:rFonts w:cs="Arial" w:ascii="Arial" w:hAnsi="Arial"/>
          <w:sz w:val="48"/>
        </w:rPr>
      </w:r>
    </w:p>
    <w:p>
      <w:pPr>
        <w:pStyle w:val="Normal"/>
        <w:rPr>
          <w:rFonts w:ascii="Arial" w:hAnsi="Arial" w:cs="Arial"/>
          <w:sz w:val="48"/>
        </w:rPr>
      </w:pPr>
      <w:r>
        <w:rPr>
          <w:rFonts w:cs="Arial" w:ascii="Arial" w:hAnsi="Arial"/>
          <w:sz w:val="48"/>
        </w:rPr>
      </w:r>
    </w:p>
    <w:p>
      <w:pPr>
        <w:pStyle w:val="Normal"/>
        <w:rPr>
          <w:rFonts w:ascii="Arial" w:hAnsi="Arial" w:cs="Arial"/>
          <w:sz w:val="48"/>
        </w:rPr>
      </w:pPr>
      <w:r>
        <w:rPr>
          <w:rFonts w:cs="Arial" w:ascii="Arial" w:hAnsi="Arial"/>
          <w:sz w:val="48"/>
        </w:rPr>
      </w:r>
    </w:p>
    <w:p>
      <w:pPr>
        <w:pStyle w:val="Normal"/>
        <w:rPr>
          <w:rFonts w:ascii="Arial" w:hAnsi="Arial" w:cs="Arial"/>
          <w:sz w:val="48"/>
        </w:rPr>
      </w:pPr>
      <w:r>
        <w:rPr>
          <w:rFonts w:cs="Arial" w:ascii="Arial" w:hAnsi="Arial"/>
          <w:sz w:val="48"/>
        </w:rPr>
      </w:r>
    </w:p>
    <w:p>
      <w:pPr>
        <w:pStyle w:val="Normal"/>
        <w:rPr>
          <w:rFonts w:ascii="Arial" w:hAnsi="Arial" w:cs="Arial"/>
        </w:rPr>
      </w:pPr>
      <w:r>
        <w:rPr>
          <w:rFonts w:cs="Arial" w:ascii="Arial" w:hAnsi="Arial"/>
        </w:rPr>
      </w:r>
    </w:p>
    <w:p>
      <w:pPr>
        <w:pStyle w:val="Normal"/>
        <w:rPr>
          <w:i/>
          <w:i/>
        </w:rPr>
      </w:pPr>
      <w:r>
        <w:rPr>
          <w:i/>
        </w:rPr>
        <w:t>On behalf of</w:t>
      </w:r>
    </w:p>
    <w:p>
      <w:pPr>
        <w:pStyle w:val="Normal"/>
        <w:rPr>
          <w:sz w:val="40"/>
        </w:rPr>
      </w:pPr>
      <w:r>
        <w:rPr>
          <w:sz w:val="40"/>
        </w:rPr>
        <w:t>Enron Europe Limited</w:t>
      </w:r>
    </w:p>
    <w:p>
      <w:pPr>
        <w:pStyle w:val="FootnoteText"/>
        <w:rPr>
          <w:i/>
          <w:i/>
        </w:rPr>
      </w:pPr>
      <w:r>
        <w:rPr>
          <w:i/>
        </w:rPr>
        <w:t>Research Group</w:t>
      </w:r>
    </w:p>
    <w:p>
      <w:pPr>
        <w:pStyle w:val="Normal"/>
        <w:rPr>
          <w:i/>
          <w:i/>
        </w:rPr>
      </w:pPr>
      <w:r>
        <w:rPr>
          <w:i/>
        </w:rPr>
      </w:r>
    </w:p>
    <w:p>
      <w:pPr>
        <w:pStyle w:val="Normal"/>
        <w:rPr/>
      </w:pPr>
      <w:r>
        <w:rPr/>
      </w:r>
    </w:p>
    <w:p>
      <w:pPr>
        <w:pStyle w:val="Normal"/>
        <w:rPr/>
      </w:pPr>
      <w:r>
        <w:rPr/>
      </w:r>
    </w:p>
    <w:tbl>
      <w:tblPr>
        <w:tblW w:w="7655" w:type="dxa"/>
        <w:jc w:val="start"/>
        <w:tblInd w:w="108" w:type="dxa"/>
        <w:tblLayout w:type="fixed"/>
        <w:tblCellMar>
          <w:top w:w="0" w:type="dxa"/>
          <w:start w:w="108" w:type="dxa"/>
          <w:bottom w:w="0" w:type="dxa"/>
          <w:end w:w="108" w:type="dxa"/>
        </w:tblCellMar>
      </w:tblPr>
      <w:tblGrid>
        <w:gridCol w:w="2552"/>
        <w:gridCol w:w="5103"/>
      </w:tblGrid>
      <w:tr>
        <w:trPr/>
        <w:tc>
          <w:tcPr>
            <w:tcW w:w="2552" w:type="dxa"/>
            <w:tcBorders>
              <w:top w:val="single" w:sz="6" w:space="0" w:color="000000"/>
              <w:start w:val="single" w:sz="6" w:space="0" w:color="000000"/>
              <w:bottom w:val="single" w:sz="6" w:space="0" w:color="000000"/>
              <w:end w:val="single" w:sz="6" w:space="0" w:color="000000"/>
            </w:tcBorders>
          </w:tcPr>
          <w:p>
            <w:pPr>
              <w:pStyle w:val="Normal"/>
              <w:jc w:val="end"/>
              <w:rPr/>
            </w:pPr>
            <w:r>
              <w:rPr/>
              <w:t>Project Code:</w:t>
            </w:r>
          </w:p>
        </w:tc>
        <w:tc>
          <w:tcPr>
            <w:tcW w:w="5103" w:type="dxa"/>
            <w:tcBorders>
              <w:top w:val="single" w:sz="6" w:space="0" w:color="000000"/>
              <w:bottom w:val="single" w:sz="6" w:space="0" w:color="000000"/>
              <w:end w:val="single" w:sz="6" w:space="0" w:color="000000"/>
            </w:tcBorders>
          </w:tcPr>
          <w:p>
            <w:pPr>
              <w:pStyle w:val="Hidden"/>
              <w:snapToGrid w:val="false"/>
              <w:rPr/>
            </w:pPr>
            <w:r>
              <w:rPr/>
            </w:r>
          </w:p>
        </w:tc>
      </w:tr>
      <w:tr>
        <w:trPr/>
        <w:tc>
          <w:tcPr>
            <w:tcW w:w="2552" w:type="dxa"/>
            <w:tcBorders>
              <w:top w:val="single" w:sz="6" w:space="0" w:color="000000"/>
              <w:start w:val="single" w:sz="6" w:space="0" w:color="000000"/>
              <w:bottom w:val="single" w:sz="6" w:space="0" w:color="000000"/>
              <w:end w:val="single" w:sz="6" w:space="0" w:color="000000"/>
            </w:tcBorders>
          </w:tcPr>
          <w:p>
            <w:pPr>
              <w:pStyle w:val="Normal"/>
              <w:jc w:val="end"/>
              <w:rPr/>
            </w:pPr>
            <w:r>
              <w:rPr/>
              <w:t>Document Classification:</w:t>
            </w:r>
          </w:p>
        </w:tc>
        <w:tc>
          <w:tcPr>
            <w:tcW w:w="5103" w:type="dxa"/>
            <w:tcBorders>
              <w:top w:val="single" w:sz="6" w:space="0" w:color="000000"/>
              <w:bottom w:val="single" w:sz="6" w:space="0" w:color="000000"/>
              <w:end w:val="single" w:sz="6" w:space="0" w:color="000000"/>
            </w:tcBorders>
          </w:tcPr>
          <w:p>
            <w:pPr>
              <w:pStyle w:val="Normal"/>
              <w:rPr/>
            </w:pPr>
            <w:r>
              <w:rPr/>
              <w:t>Draft</w:t>
            </w:r>
            <w:r>
              <w:rPr>
                <w:vanish/>
              </w:rPr>
              <w:t xml:space="preserve"> / Released</w:t>
            </w:r>
          </w:p>
        </w:tc>
      </w:tr>
      <w:tr>
        <w:trPr/>
        <w:tc>
          <w:tcPr>
            <w:tcW w:w="2552" w:type="dxa"/>
            <w:tcBorders>
              <w:top w:val="single" w:sz="6" w:space="0" w:color="000000"/>
              <w:start w:val="single" w:sz="6" w:space="0" w:color="000000"/>
              <w:bottom w:val="single" w:sz="6" w:space="0" w:color="000000"/>
              <w:end w:val="single" w:sz="6" w:space="0" w:color="000000"/>
            </w:tcBorders>
          </w:tcPr>
          <w:p>
            <w:pPr>
              <w:pStyle w:val="Normal"/>
              <w:jc w:val="end"/>
              <w:rPr/>
            </w:pPr>
            <w:r>
              <w:rPr/>
              <w:t>Version:</w:t>
            </w:r>
          </w:p>
        </w:tc>
        <w:tc>
          <w:tcPr>
            <w:tcW w:w="5103" w:type="dxa"/>
            <w:tcBorders>
              <w:top w:val="single" w:sz="6" w:space="0" w:color="000000"/>
              <w:bottom w:val="single" w:sz="6" w:space="0" w:color="000000"/>
              <w:end w:val="single" w:sz="6" w:space="0" w:color="000000"/>
            </w:tcBorders>
          </w:tcPr>
          <w:p>
            <w:pPr>
              <w:pStyle w:val="Normal"/>
              <w:jc w:val="both"/>
              <w:rPr>
                <w:i/>
                <w:i/>
              </w:rPr>
            </w:pPr>
            <w:r>
              <w:rPr>
                <w:i/>
              </w:rPr>
              <w:t>1.00</w:t>
            </w:r>
          </w:p>
        </w:tc>
      </w:tr>
      <w:tr>
        <w:trPr/>
        <w:tc>
          <w:tcPr>
            <w:tcW w:w="2552" w:type="dxa"/>
            <w:tcBorders>
              <w:top w:val="single" w:sz="6" w:space="0" w:color="000000"/>
              <w:start w:val="single" w:sz="6" w:space="0" w:color="000000"/>
              <w:bottom w:val="single" w:sz="6" w:space="0" w:color="000000"/>
              <w:end w:val="single" w:sz="6" w:space="0" w:color="000000"/>
            </w:tcBorders>
          </w:tcPr>
          <w:p>
            <w:pPr>
              <w:pStyle w:val="Normal"/>
              <w:jc w:val="end"/>
              <w:rPr/>
            </w:pPr>
            <w:r>
              <w:rPr/>
              <w:t>Filename:</w:t>
            </w:r>
          </w:p>
        </w:tc>
        <w:tc>
          <w:tcPr>
            <w:tcW w:w="5103" w:type="dxa"/>
            <w:tcBorders>
              <w:top w:val="single" w:sz="6" w:space="0" w:color="000000"/>
              <w:bottom w:val="single" w:sz="6" w:space="0" w:color="000000"/>
              <w:end w:val="single" w:sz="6" w:space="0" w:color="000000"/>
            </w:tcBorders>
          </w:tcPr>
          <w:p>
            <w:pPr>
              <w:pStyle w:val="Normal"/>
              <w:jc w:val="both"/>
              <w:rPr>
                <w:i/>
                <w:i/>
                <w:color w:val="800080"/>
              </w:rPr>
            </w:pPr>
            <w:r>
              <w:rPr>
                <w:i/>
                <w:color w:val="800080"/>
              </w:rPr>
              <w:fldChar w:fldCharType="begin"/>
            </w:r>
            <w:r>
              <w:rPr>
                <w:i/>
                <w:color w:val="800080"/>
              </w:rPr>
              <w:instrText xml:space="preserve"> FILENAME \p </w:instrText>
            </w:r>
            <w:r>
              <w:rPr>
                <w:i/>
                <w:color w:val="800080"/>
              </w:rPr>
              <w:fldChar w:fldCharType="separate"/>
            </w:r>
            <w:r>
              <w:rPr>
                <w:i/>
                <w:color w:val="800080"/>
              </w:rPr>
              <w:t>/mnt/main-storage/datasets/enron-docs/doc/Placement_Model_v1.0.1.doc</w:t>
            </w:r>
            <w:r>
              <w:rPr>
                <w:i/>
                <w:color w:val="800080"/>
              </w:rPr>
              <w:fldChar w:fldCharType="end"/>
            </w:r>
          </w:p>
          <w:p>
            <w:pPr>
              <w:pStyle w:val="Normal"/>
              <w:jc w:val="both"/>
              <w:rPr/>
            </w:pPr>
            <w:r>
              <w:rPr>
                <w:i/>
                <w:vanish/>
                <w:color w:val="FF0000"/>
              </w:rPr>
              <w:t>Use Right-click / Update field to get Document path and name updated</w:t>
            </w:r>
            <w:r>
              <w:rPr>
                <w:i/>
                <w:color w:val="800080"/>
              </w:rPr>
              <w:t>.</w:t>
            </w:r>
          </w:p>
        </w:tc>
      </w:tr>
      <w:tr>
        <w:trPr/>
        <w:tc>
          <w:tcPr>
            <w:tcW w:w="2552" w:type="dxa"/>
            <w:tcBorders>
              <w:top w:val="single" w:sz="6" w:space="0" w:color="000000"/>
              <w:start w:val="single" w:sz="6" w:space="0" w:color="000000"/>
              <w:bottom w:val="single" w:sz="6" w:space="0" w:color="000000"/>
              <w:end w:val="single" w:sz="6" w:space="0" w:color="000000"/>
            </w:tcBorders>
          </w:tcPr>
          <w:p>
            <w:pPr>
              <w:pStyle w:val="Normal"/>
              <w:jc w:val="end"/>
              <w:rPr/>
            </w:pPr>
            <w:r>
              <w:rPr/>
              <w:t>Prepared by:</w:t>
            </w:r>
          </w:p>
        </w:tc>
        <w:tc>
          <w:tcPr>
            <w:tcW w:w="5103" w:type="dxa"/>
            <w:tcBorders>
              <w:top w:val="single" w:sz="6" w:space="0" w:color="000000"/>
              <w:bottom w:val="single" w:sz="6" w:space="0" w:color="000000"/>
              <w:end w:val="single" w:sz="6" w:space="0" w:color="000000"/>
            </w:tcBorders>
          </w:tcPr>
          <w:p>
            <w:pPr>
              <w:pStyle w:val="Custom2"/>
              <w:rPr>
                <w:rFonts w:ascii="Times New Roman" w:hAnsi="Times New Roman" w:cs="Times New Roman"/>
              </w:rPr>
            </w:pPr>
            <w:r>
              <w:rPr>
                <w:rFonts w:cs="Times New Roman" w:ascii="Times New Roman" w:hAnsi="Times New Roman"/>
              </w:rPr>
              <w:t>Ben Parsons, Research Group</w:t>
            </w:r>
          </w:p>
        </w:tc>
      </w:tr>
      <w:tr>
        <w:trPr/>
        <w:tc>
          <w:tcPr>
            <w:tcW w:w="2552" w:type="dxa"/>
            <w:tcBorders>
              <w:top w:val="single" w:sz="6" w:space="0" w:color="000000"/>
              <w:start w:val="single" w:sz="6" w:space="0" w:color="000000"/>
              <w:bottom w:val="single" w:sz="6" w:space="0" w:color="000000"/>
              <w:end w:val="single" w:sz="6" w:space="0" w:color="000000"/>
            </w:tcBorders>
          </w:tcPr>
          <w:p>
            <w:pPr>
              <w:pStyle w:val="Normal"/>
              <w:jc w:val="end"/>
              <w:rPr/>
            </w:pPr>
            <w:r>
              <w:rPr/>
              <w:t>Date:</w:t>
            </w:r>
          </w:p>
        </w:tc>
        <w:tc>
          <w:tcPr>
            <w:tcW w:w="5103" w:type="dxa"/>
            <w:tcBorders>
              <w:top w:val="single" w:sz="6" w:space="0" w:color="000000"/>
              <w:bottom w:val="single" w:sz="6" w:space="0" w:color="000000"/>
              <w:end w:val="single" w:sz="6" w:space="0" w:color="000000"/>
            </w:tcBorders>
          </w:tcPr>
          <w:p>
            <w:pPr>
              <w:pStyle w:val="Normal"/>
              <w:rPr>
                <w:color w:val="800080"/>
              </w:rPr>
            </w:pPr>
            <w:r>
              <w:rPr>
                <w:color w:val="800080"/>
              </w:rPr>
              <w:fldChar w:fldCharType="begin"/>
            </w:r>
            <w:r>
              <w:rPr>
                <w:color w:val="800080"/>
              </w:rPr>
              <w:instrText xml:space="preserve"> SAVEDATE \@"d\-MMM\-yy\ H:mm" </w:instrText>
            </w:r>
            <w:r>
              <w:rPr>
                <w:color w:val="800080"/>
              </w:rPr>
              <w:fldChar w:fldCharType="separate"/>
            </w:r>
            <w:r>
              <w:rPr>
                <w:color w:val="800080"/>
              </w:rPr>
              <w:t>24-Nov-00 11:15</w:t>
            </w:r>
            <w:r>
              <w:rPr>
                <w:color w:val="800080"/>
              </w:rPr>
              <w:fldChar w:fldCharType="end"/>
            </w:r>
          </w:p>
          <w:p>
            <w:pPr>
              <w:pStyle w:val="Normal"/>
              <w:rPr>
                <w:color w:val="800080"/>
              </w:rPr>
            </w:pPr>
            <w:r>
              <w:rPr>
                <w:i/>
                <w:vanish/>
                <w:color w:val="FF0000"/>
              </w:rPr>
              <w:t>Use Right-click / Update field to get Date updated</w:t>
            </w:r>
          </w:p>
        </w:tc>
      </w:tr>
    </w:tbl>
    <w:p>
      <w:pPr>
        <w:sectPr>
          <w:headerReference w:type="default" r:id="rId3"/>
          <w:headerReference w:type="first" r:id="rId4"/>
          <w:footerReference w:type="default" r:id="rId5"/>
          <w:footerReference w:type="first" r:id="rId6"/>
          <w:type w:val="nextPage"/>
          <w:pgSz w:w="11906" w:h="16838"/>
          <w:pgMar w:left="1800" w:right="1800" w:gutter="0" w:header="720" w:top="1440" w:footer="720" w:bottom="1440"/>
          <w:pgNumType w:fmt="decimal"/>
          <w:formProt w:val="false"/>
          <w:titlePg/>
          <w:textDirection w:val="lrTb"/>
          <w:docGrid w:type="default" w:linePitch="360" w:charSpace="0"/>
        </w:sectPr>
        <w:pStyle w:val="Normal"/>
        <w:rPr/>
      </w:pPr>
      <w:r>
        <w:rPr/>
      </w:r>
    </w:p>
    <w:p>
      <w:pPr>
        <w:pStyle w:val="Normal"/>
        <w:rPr>
          <w:b/>
          <w:sz w:val="28"/>
          <w:u w:val="single"/>
        </w:rPr>
      </w:pPr>
      <w:r>
        <w:rPr>
          <w:b/>
          <w:sz w:val="28"/>
          <w:u w:val="single"/>
        </w:rPr>
      </w:r>
    </w:p>
    <w:p>
      <w:pPr>
        <w:pStyle w:val="Normal"/>
        <w:jc w:val="center"/>
        <w:rPr>
          <w:b/>
          <w:sz w:val="28"/>
          <w:u w:val="single"/>
        </w:rPr>
      </w:pPr>
      <w:r>
        <w:rPr>
          <w:b/>
          <w:sz w:val="28"/>
          <w:u w:val="single"/>
        </w:rPr>
        <w:t>Sign off</w:t>
      </w:r>
    </w:p>
    <w:p>
      <w:pPr>
        <w:pStyle w:val="Normal"/>
        <w:rPr>
          <w:b/>
          <w:sz w:val="28"/>
          <w:u w:val="single"/>
        </w:rPr>
      </w:pPr>
      <w:r>
        <w:rPr>
          <w:b/>
          <w:sz w:val="28"/>
          <w:u w:val="single"/>
        </w:rPr>
      </w:r>
    </w:p>
    <w:p>
      <w:pPr>
        <w:pStyle w:val="Normal"/>
        <w:rPr/>
      </w:pPr>
      <w:r>
        <w:rPr/>
      </w:r>
    </w:p>
    <w:p>
      <w:pPr>
        <w:pStyle w:val="BodyTextIndent"/>
        <w:ind w:start="0" w:end="0"/>
        <w:jc w:val="both"/>
        <w:rPr/>
      </w:pPr>
      <w:r>
        <w:rPr/>
        <w:t>The signatories agree with the definitions, processes and recommendations stated in this document and agree for the next phase to begin based on this document.</w:t>
      </w:r>
    </w:p>
    <w:p>
      <w:pPr>
        <w:pStyle w:val="Normal"/>
        <w:rPr/>
      </w:pPr>
      <w:r>
        <w:rPr/>
      </w:r>
    </w:p>
    <w:p>
      <w:pPr>
        <w:pStyle w:val="BodyTextIndent"/>
        <w:jc w:val="both"/>
        <w:rPr/>
      </w:pPr>
      <w:r>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pPr>
      <w:r>
        <w:rPr>
          <w:b/>
        </w:rPr>
        <w:t>Business Sponsor(s)</w:t>
      </w:r>
      <w:r>
        <w:rPr/>
        <w:tab/>
      </w:r>
      <w:r>
        <w:rPr>
          <w:i/>
        </w:rPr>
        <w:t>Name</w:t>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i/>
          <w:i/>
        </w:rPr>
      </w:pPr>
      <w:r>
        <w:rPr>
          <w:b/>
          <w:i/>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pPr>
      <w:r>
        <w:rPr>
          <w:b/>
        </w:rPr>
        <w:tab/>
        <w:t xml:space="preserve">_______________________ </w:t>
        <w:tab/>
        <w:tab/>
      </w:r>
      <w:r>
        <w:rPr/>
        <w:t>Date</w:t>
      </w:r>
      <w:r>
        <w:rPr>
          <w:b/>
        </w:rPr>
        <w:t xml:space="preserve"> ______________</w:t>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numPr>
          <w:ilvl w:val="0"/>
          <w:numId w:val="0"/>
        </w:numPr>
        <w:pBdr>
          <w:top w:val="single" w:sz="4" w:space="1" w:color="000000"/>
          <w:left w:val="single" w:sz="4" w:space="4" w:color="000000"/>
          <w:bottom w:val="single" w:sz="4" w:space="1" w:color="000000"/>
          <w:right w:val="single" w:sz="4" w:space="4" w:color="000000"/>
        </w:pBdr>
        <w:tabs>
          <w:tab w:val="clear" w:pos="720"/>
          <w:tab w:val="left" w:pos="1985" w:leader="none"/>
        </w:tabs>
        <w:ind w:hanging="0" w:start="0" w:end="0"/>
        <w:jc w:val="both"/>
        <w:outlineLvl w:val="0"/>
        <w:rPr/>
      </w:pPr>
      <w:r>
        <w:rPr/>
        <w:tab/>
      </w:r>
      <w:r>
        <w:rPr>
          <w:i/>
        </w:rPr>
        <w:t>Name</w:t>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i/>
          <w:i/>
        </w:rPr>
      </w:pPr>
      <w:r>
        <w:rPr>
          <w:b/>
          <w:i/>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pPr>
      <w:r>
        <w:rPr>
          <w:b/>
        </w:rPr>
        <w:tab/>
        <w:t xml:space="preserve">_______________________ </w:t>
        <w:tab/>
        <w:tab/>
      </w:r>
      <w:r>
        <w:rPr/>
        <w:t>Date</w:t>
      </w:r>
      <w:r>
        <w:rPr>
          <w:b/>
        </w:rPr>
        <w:t xml:space="preserve"> ______________</w:t>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t>Research Sponsor</w:t>
        <w:tab/>
      </w:r>
      <w:r>
        <w:rPr>
          <w:i/>
        </w:rPr>
        <w:t>Name</w:t>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pPr>
      <w:r>
        <w:rPr>
          <w:b/>
        </w:rPr>
        <w:tab/>
        <w:t xml:space="preserve">_______________________ </w:t>
        <w:tab/>
        <w:tab/>
      </w:r>
      <w:r>
        <w:rPr/>
        <w:t>Date</w:t>
      </w:r>
      <w:r>
        <w:rPr>
          <w:b/>
        </w:rPr>
        <w:t xml:space="preserve"> ______________</w:t>
      </w:r>
    </w:p>
    <w:p>
      <w:pPr>
        <w:pStyle w:val="BodyTextIndent"/>
        <w:numPr>
          <w:ilvl w:val="0"/>
          <w:numId w:val="0"/>
        </w:numPr>
        <w:pBdr>
          <w:top w:val="single" w:sz="4" w:space="1" w:color="000000"/>
          <w:left w:val="single" w:sz="4" w:space="4" w:color="000000"/>
          <w:bottom w:val="single" w:sz="4" w:space="1" w:color="000000"/>
          <w:right w:val="single" w:sz="4" w:space="4" w:color="000000"/>
        </w:pBdr>
        <w:tabs>
          <w:tab w:val="clear" w:pos="720"/>
          <w:tab w:val="left" w:pos="1985" w:leader="none"/>
        </w:tabs>
        <w:ind w:hanging="0" w:start="0" w:end="0"/>
        <w:jc w:val="both"/>
        <w:outlineLvl w:val="0"/>
        <w:rPr>
          <w:b/>
        </w:rPr>
      </w:pPr>
      <w:r>
        <w:rPr>
          <w:b/>
        </w:rPr>
      </w:r>
    </w:p>
    <w:p>
      <w:pPr>
        <w:pStyle w:val="BodyTextIndent"/>
        <w:numPr>
          <w:ilvl w:val="0"/>
          <w:numId w:val="0"/>
        </w:numPr>
        <w:pBdr>
          <w:top w:val="single" w:sz="4" w:space="1" w:color="000000"/>
          <w:left w:val="single" w:sz="4" w:space="4" w:color="000000"/>
          <w:bottom w:val="single" w:sz="4" w:space="1" w:color="000000"/>
          <w:right w:val="single" w:sz="4" w:space="4" w:color="000000"/>
        </w:pBdr>
        <w:tabs>
          <w:tab w:val="clear" w:pos="720"/>
          <w:tab w:val="left" w:pos="1985" w:leader="none"/>
        </w:tabs>
        <w:ind w:hanging="0" w:start="0" w:end="0"/>
        <w:jc w:val="both"/>
        <w:outlineLvl w:val="0"/>
        <w:rPr/>
      </w:pPr>
      <w:r>
        <w:rPr/>
      </w:r>
    </w:p>
    <w:p>
      <w:pPr>
        <w:pStyle w:val="BodyTextIndent"/>
        <w:numPr>
          <w:ilvl w:val="0"/>
          <w:numId w:val="0"/>
        </w:numPr>
        <w:pBdr>
          <w:top w:val="single" w:sz="4" w:space="1" w:color="000000"/>
          <w:left w:val="single" w:sz="4" w:space="4" w:color="000000"/>
          <w:bottom w:val="single" w:sz="4" w:space="1" w:color="000000"/>
          <w:right w:val="single" w:sz="4" w:space="4" w:color="000000"/>
        </w:pBdr>
        <w:tabs>
          <w:tab w:val="clear" w:pos="720"/>
          <w:tab w:val="left" w:pos="1985" w:leader="none"/>
        </w:tabs>
        <w:ind w:hanging="0" w:start="0" w:end="0"/>
        <w:jc w:val="both"/>
        <w:outlineLvl w:val="0"/>
        <w:rPr/>
      </w:pPr>
      <w:r>
        <w:rPr/>
        <w:tab/>
      </w:r>
      <w:r>
        <w:rPr>
          <w:i/>
        </w:rPr>
        <w:t>Name</w:t>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i/>
          <w:i/>
        </w:rPr>
      </w:pPr>
      <w:r>
        <w:rPr>
          <w:b/>
          <w:i/>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pPr>
      <w:r>
        <w:rPr>
          <w:b/>
        </w:rPr>
        <w:tab/>
        <w:t xml:space="preserve">_______________________ </w:t>
        <w:tab/>
        <w:tab/>
      </w:r>
      <w:r>
        <w:rPr/>
        <w:t>Date</w:t>
      </w:r>
      <w:r>
        <w:rPr>
          <w:b/>
        </w:rPr>
        <w:t xml:space="preserve"> ______________</w:t>
      </w:r>
    </w:p>
    <w:p>
      <w:pPr>
        <w:pStyle w:val="BodyTextIndent"/>
        <w:pBdr>
          <w:top w:val="single" w:sz="4" w:space="1" w:color="000000"/>
          <w:left w:val="single" w:sz="4" w:space="4" w:color="000000"/>
          <w:bottom w:val="single" w:sz="4" w:space="1" w:color="000000"/>
          <w:right w:val="single" w:sz="4" w:space="4" w:color="000000"/>
        </w:pBdr>
        <w:tabs>
          <w:tab w:val="clear" w:pos="720"/>
          <w:tab w:val="left" w:pos="1985" w:leader="none"/>
        </w:tabs>
        <w:ind w:start="0" w:end="0"/>
        <w:jc w:val="both"/>
        <w:rPr>
          <w:b/>
        </w:rPr>
      </w:pPr>
      <w:r>
        <w:rPr>
          <w:b/>
        </w:rPr>
      </w:r>
    </w:p>
    <w:p>
      <w:pPr>
        <w:pStyle w:val="Normal"/>
        <w:rPr>
          <w:b/>
        </w:rPr>
      </w:pPr>
      <w:r>
        <w:rPr>
          <w:b/>
        </w:rPr>
      </w:r>
      <w:r>
        <w:br w:type="page"/>
      </w:r>
    </w:p>
    <w:p>
      <w:pPr>
        <w:pStyle w:val="Heading"/>
        <w:numPr>
          <w:ilvl w:val="0"/>
          <w:numId w:val="0"/>
        </w:numPr>
        <w:outlineLvl w:val="0"/>
        <w:rPr/>
      </w:pPr>
      <w:r>
        <w:rPr/>
        <w:t>Contents</w:t>
      </w:r>
    </w:p>
    <w:sdt>
      <w:sdtPr>
        <w:docPartObj>
          <w:docPartGallery w:val="Table of Contents"/>
          <w:docPartUnique w:val="true"/>
        </w:docPartObj>
      </w:sdtPr>
      <w:sdtContent>
        <w:p>
          <w:pPr>
            <w:pStyle w:val="TOC1"/>
            <w:tabs>
              <w:tab w:val="clear" w:pos="720"/>
              <w:tab w:val="left" w:pos="400" w:leader="none"/>
              <w:tab w:val="right" w:pos="8296" w:leader="dot"/>
            </w:tabs>
            <w:rPr>
              <w:b w:val="false"/>
              <w:caps w:val="false"/>
              <w:smallCaps w:val="false"/>
              <w:sz w:val="24"/>
              <w:szCs w:val="24"/>
              <w:lang w:val="en-CA" w:eastAsia="en-CA"/>
            </w:rPr>
          </w:pPr>
          <w:r>
            <w:fldChar w:fldCharType="begin"/>
          </w:r>
          <w:r>
            <w:rPr>
              <w:szCs w:val="28"/>
              <w:lang w:val="en-CA" w:eastAsia="en-CA"/>
            </w:rPr>
            <w:instrText xml:space="preserve"> TOC \o "1-4" </w:instrText>
          </w:r>
          <w:r>
            <w:rPr>
              <w:szCs w:val="28"/>
              <w:lang w:val="en-CA" w:eastAsia="en-CA"/>
            </w:rPr>
            <w:fldChar w:fldCharType="separate"/>
          </w:r>
          <w:r>
            <w:rPr>
              <w:szCs w:val="28"/>
              <w:lang w:val="en-CA" w:eastAsia="en-CA"/>
            </w:rPr>
            <w:t>1</w:t>
          </w:r>
          <w:r>
            <w:rPr>
              <w:b w:val="false"/>
              <w:caps w:val="false"/>
              <w:smallCaps w:val="false"/>
              <w:sz w:val="24"/>
              <w:szCs w:val="24"/>
              <w:lang w:val="en-CA" w:eastAsia="en-CA"/>
            </w:rPr>
            <w:tab/>
          </w:r>
          <w:r>
            <w:rPr>
              <w:szCs w:val="28"/>
              <w:lang w:val="en-CA" w:eastAsia="en-CA"/>
            </w:rPr>
            <w:t>Introduction</w:t>
          </w:r>
          <w:r>
            <w:rPr>
              <w:lang w:val="en-CA" w:eastAsia="en-CA"/>
            </w:rPr>
            <w:tab/>
          </w:r>
          <w:hyperlink w:anchor="__RefHeading___Toc499707739">
            <w:r>
              <w:rPr>
                <w:rStyle w:val="IndexLink"/>
                <w:lang w:val="en-CA" w:eastAsia="en-CA"/>
              </w:rPr>
              <w:t>5</w:t>
            </w:r>
          </w:hyperlink>
        </w:p>
        <w:p>
          <w:pPr>
            <w:pStyle w:val="TOC1"/>
            <w:tabs>
              <w:tab w:val="clear" w:pos="720"/>
              <w:tab w:val="left" w:pos="400" w:leader="none"/>
              <w:tab w:val="right" w:pos="8296" w:leader="dot"/>
            </w:tabs>
            <w:rPr>
              <w:b w:val="false"/>
              <w:caps w:val="false"/>
              <w:smallCaps w:val="false"/>
              <w:sz w:val="24"/>
              <w:szCs w:val="24"/>
              <w:lang w:val="en-CA" w:eastAsia="en-CA"/>
            </w:rPr>
          </w:pPr>
          <w:r>
            <w:rPr>
              <w:szCs w:val="28"/>
              <w:lang w:val="en-CA" w:eastAsia="en-CA"/>
            </w:rPr>
            <w:t>2</w:t>
          </w:r>
          <w:r>
            <w:rPr>
              <w:b w:val="false"/>
              <w:caps w:val="false"/>
              <w:smallCaps w:val="false"/>
              <w:sz w:val="24"/>
              <w:szCs w:val="24"/>
              <w:lang w:val="en-CA" w:eastAsia="en-CA"/>
            </w:rPr>
            <w:tab/>
          </w:r>
          <w:r>
            <w:rPr>
              <w:szCs w:val="28"/>
              <w:lang w:val="en-CA" w:eastAsia="en-CA"/>
            </w:rPr>
            <w:t>EnronCredit Pricing Model Architecture</w:t>
          </w:r>
          <w:r>
            <w:rPr>
              <w:lang w:val="en-CA" w:eastAsia="en-CA"/>
            </w:rPr>
            <w:tab/>
          </w:r>
          <w:hyperlink w:anchor="__RefHeading___Toc499707740">
            <w:r>
              <w:rPr>
                <w:rStyle w:val="IndexLink"/>
                <w:lang w:val="en-CA" w:eastAsia="en-CA"/>
              </w:rPr>
              <w:t>5</w:t>
            </w:r>
          </w:hyperlink>
        </w:p>
        <w:p>
          <w:pPr>
            <w:pStyle w:val="TOC2"/>
            <w:tabs>
              <w:tab w:val="left" w:pos="720" w:leader="none"/>
              <w:tab w:val="right" w:pos="8296" w:leader="dot"/>
            </w:tabs>
            <w:rPr>
              <w:caps w:val="false"/>
              <w:smallCaps w:val="false"/>
              <w:sz w:val="24"/>
              <w:szCs w:val="24"/>
              <w:lang w:val="en-CA" w:eastAsia="en-CA"/>
            </w:rPr>
          </w:pPr>
          <w:r>
            <w:rPr>
              <w:szCs w:val="24"/>
              <w:lang w:val="en-CA" w:eastAsia="en-CA"/>
            </w:rPr>
            <w:t>2.1</w:t>
          </w:r>
          <w:r>
            <w:rPr>
              <w:caps w:val="false"/>
              <w:smallCaps w:val="false"/>
              <w:sz w:val="24"/>
              <w:szCs w:val="24"/>
              <w:lang w:val="en-CA" w:eastAsia="en-CA"/>
            </w:rPr>
            <w:tab/>
          </w:r>
          <w:r>
            <w:rPr>
              <w:szCs w:val="24"/>
              <w:lang w:val="en-CA" w:eastAsia="en-CA"/>
            </w:rPr>
            <w:t>FMC Model</w:t>
          </w:r>
          <w:r>
            <w:rPr>
              <w:lang w:val="en-CA" w:eastAsia="en-CA"/>
            </w:rPr>
            <w:tab/>
          </w:r>
          <w:hyperlink w:anchor="__RefHeading___Toc499707741">
            <w:r>
              <w:rPr>
                <w:rStyle w:val="IndexLink"/>
                <w:lang w:val="en-CA" w:eastAsia="en-CA"/>
              </w:rPr>
              <w:t>5</w:t>
            </w:r>
          </w:hyperlink>
        </w:p>
        <w:p>
          <w:pPr>
            <w:pStyle w:val="TOC2"/>
            <w:tabs>
              <w:tab w:val="left" w:pos="720" w:leader="none"/>
              <w:tab w:val="right" w:pos="8296" w:leader="dot"/>
            </w:tabs>
            <w:rPr>
              <w:caps w:val="false"/>
              <w:smallCaps w:val="false"/>
              <w:sz w:val="24"/>
              <w:szCs w:val="24"/>
              <w:lang w:val="en-CA" w:eastAsia="en-CA"/>
            </w:rPr>
          </w:pPr>
          <w:r>
            <w:rPr>
              <w:szCs w:val="24"/>
              <w:lang w:val="en-CA" w:eastAsia="en-CA"/>
            </w:rPr>
            <w:t>2.2</w:t>
          </w:r>
          <w:r>
            <w:rPr>
              <w:caps w:val="false"/>
              <w:smallCaps w:val="false"/>
              <w:sz w:val="24"/>
              <w:szCs w:val="24"/>
              <w:lang w:val="en-CA" w:eastAsia="en-CA"/>
            </w:rPr>
            <w:tab/>
          </w:r>
          <w:r>
            <w:rPr>
              <w:szCs w:val="24"/>
              <w:lang w:val="en-CA" w:eastAsia="en-CA"/>
            </w:rPr>
            <w:t>Placement Model</w:t>
          </w:r>
          <w:r>
            <w:rPr>
              <w:lang w:val="en-CA" w:eastAsia="en-CA"/>
            </w:rPr>
            <w:tab/>
          </w:r>
          <w:hyperlink w:anchor="__RefHeading___Toc499707742">
            <w:r>
              <w:rPr>
                <w:rStyle w:val="IndexLink"/>
                <w:lang w:val="en-CA" w:eastAsia="en-CA"/>
              </w:rPr>
              <w:t>5</w:t>
            </w:r>
          </w:hyperlink>
        </w:p>
        <w:p>
          <w:pPr>
            <w:pStyle w:val="TOC2"/>
            <w:tabs>
              <w:tab w:val="left" w:pos="720" w:leader="none"/>
              <w:tab w:val="right" w:pos="8296" w:leader="dot"/>
            </w:tabs>
            <w:rPr>
              <w:caps w:val="false"/>
              <w:smallCaps w:val="false"/>
              <w:sz w:val="24"/>
              <w:szCs w:val="24"/>
              <w:lang w:val="en-CA" w:eastAsia="en-CA"/>
            </w:rPr>
          </w:pPr>
          <w:r>
            <w:rPr>
              <w:szCs w:val="24"/>
              <w:lang w:val="en-CA" w:eastAsia="en-CA"/>
            </w:rPr>
            <w:t>2.3</w:t>
          </w:r>
          <w:r>
            <w:rPr>
              <w:caps w:val="false"/>
              <w:smallCaps w:val="false"/>
              <w:sz w:val="24"/>
              <w:szCs w:val="24"/>
              <w:lang w:val="en-CA" w:eastAsia="en-CA"/>
            </w:rPr>
            <w:tab/>
          </w:r>
          <w:r>
            <w:rPr>
              <w:szCs w:val="24"/>
              <w:lang w:val="en-CA" w:eastAsia="en-CA"/>
            </w:rPr>
            <w:t>Movement Model</w:t>
          </w:r>
          <w:r>
            <w:rPr>
              <w:lang w:val="en-CA" w:eastAsia="en-CA"/>
            </w:rPr>
            <w:tab/>
          </w:r>
          <w:hyperlink w:anchor="__RefHeading___Toc499707743">
            <w:r>
              <w:rPr>
                <w:rStyle w:val="IndexLink"/>
                <w:lang w:val="en-CA" w:eastAsia="en-CA"/>
              </w:rPr>
              <w:t>5</w:t>
            </w:r>
          </w:hyperlink>
        </w:p>
        <w:p>
          <w:pPr>
            <w:pStyle w:val="TOC1"/>
            <w:tabs>
              <w:tab w:val="clear" w:pos="720"/>
              <w:tab w:val="left" w:pos="400" w:leader="none"/>
              <w:tab w:val="right" w:pos="8296" w:leader="dot"/>
            </w:tabs>
            <w:rPr>
              <w:b w:val="false"/>
              <w:caps w:val="false"/>
              <w:smallCaps w:val="false"/>
              <w:sz w:val="24"/>
              <w:szCs w:val="24"/>
              <w:lang w:val="en-CA" w:eastAsia="en-CA"/>
            </w:rPr>
          </w:pPr>
          <w:r>
            <w:rPr>
              <w:szCs w:val="28"/>
              <w:lang w:val="en-CA" w:eastAsia="en-CA"/>
            </w:rPr>
            <w:t>3</w:t>
          </w:r>
          <w:r>
            <w:rPr>
              <w:b w:val="false"/>
              <w:caps w:val="false"/>
              <w:smallCaps w:val="false"/>
              <w:sz w:val="24"/>
              <w:szCs w:val="24"/>
              <w:lang w:val="en-CA" w:eastAsia="en-CA"/>
            </w:rPr>
            <w:tab/>
          </w:r>
          <w:r>
            <w:rPr>
              <w:szCs w:val="28"/>
              <w:lang w:val="en-CA" w:eastAsia="en-CA"/>
            </w:rPr>
            <w:t>Placement Model</w:t>
          </w:r>
          <w:r>
            <w:rPr>
              <w:lang w:val="en-CA" w:eastAsia="en-CA"/>
            </w:rPr>
            <w:tab/>
          </w:r>
          <w:hyperlink w:anchor="__RefHeading___Toc499707744">
            <w:r>
              <w:rPr>
                <w:rStyle w:val="IndexLink"/>
                <w:lang w:val="en-CA" w:eastAsia="en-CA"/>
              </w:rPr>
              <w:t>6</w:t>
            </w:r>
          </w:hyperlink>
        </w:p>
        <w:p>
          <w:pPr>
            <w:pStyle w:val="TOC2"/>
            <w:tabs>
              <w:tab w:val="left" w:pos="720" w:leader="none"/>
              <w:tab w:val="right" w:pos="8296" w:leader="dot"/>
            </w:tabs>
            <w:rPr>
              <w:caps w:val="false"/>
              <w:smallCaps w:val="false"/>
              <w:sz w:val="24"/>
              <w:szCs w:val="24"/>
              <w:lang w:val="en-CA" w:eastAsia="en-CA"/>
            </w:rPr>
          </w:pPr>
          <w:r>
            <w:rPr>
              <w:szCs w:val="24"/>
              <w:lang w:val="en-CA" w:eastAsia="en-CA"/>
            </w:rPr>
            <w:t>3.1</w:t>
          </w:r>
          <w:r>
            <w:rPr>
              <w:caps w:val="false"/>
              <w:smallCaps w:val="false"/>
              <w:sz w:val="24"/>
              <w:szCs w:val="24"/>
              <w:lang w:val="en-CA" w:eastAsia="en-CA"/>
            </w:rPr>
            <w:tab/>
          </w:r>
          <w:r>
            <w:rPr>
              <w:szCs w:val="24"/>
              <w:lang w:val="en-CA" w:eastAsia="en-CA"/>
            </w:rPr>
            <w:t>CDS Price Prediction</w:t>
          </w:r>
          <w:r>
            <w:rPr>
              <w:lang w:val="en-CA" w:eastAsia="en-CA"/>
            </w:rPr>
            <w:tab/>
          </w:r>
          <w:hyperlink w:anchor="__RefHeading___Toc499707745">
            <w:r>
              <w:rPr>
                <w:rStyle w:val="IndexLink"/>
                <w:lang w:val="en-CA" w:eastAsia="en-CA"/>
              </w:rPr>
              <w:t>6</w:t>
            </w:r>
          </w:hyperlink>
        </w:p>
        <w:p>
          <w:pPr>
            <w:pStyle w:val="TOC3"/>
            <w:tabs>
              <w:tab w:val="clear" w:pos="720"/>
              <w:tab w:val="left" w:pos="1200" w:leader="none"/>
              <w:tab w:val="right" w:pos="8296" w:leader="dot"/>
            </w:tabs>
            <w:rPr>
              <w:sz w:val="24"/>
              <w:szCs w:val="24"/>
              <w:lang w:val="en-US" w:eastAsia="en-CA"/>
            </w:rPr>
          </w:pPr>
          <w:r>
            <w:rPr>
              <w:lang w:val="en-CA" w:eastAsia="en-CA"/>
            </w:rPr>
            <w:t>3.1.1</w:t>
          </w:r>
          <w:r>
            <w:rPr>
              <w:sz w:val="24"/>
              <w:szCs w:val="24"/>
              <w:lang w:val="en-US" w:eastAsia="en-CA"/>
            </w:rPr>
            <w:tab/>
          </w:r>
          <w:r>
            <w:rPr>
              <w:lang w:val="en-CA" w:eastAsia="en-CA"/>
            </w:rPr>
            <w:t>Dummification</w:t>
            <w:tab/>
          </w:r>
          <w:hyperlink w:anchor="__RefHeading___Toc499707746">
            <w:r>
              <w:rPr>
                <w:rStyle w:val="IndexLink"/>
                <w:lang w:val="en-CA" w:eastAsia="en-CA"/>
              </w:rPr>
              <w:t>6</w:t>
            </w:r>
          </w:hyperlink>
        </w:p>
        <w:p>
          <w:pPr>
            <w:pStyle w:val="TOC2"/>
            <w:tabs>
              <w:tab w:val="left" w:pos="720" w:leader="none"/>
              <w:tab w:val="right" w:pos="8296" w:leader="dot"/>
            </w:tabs>
            <w:rPr>
              <w:caps w:val="false"/>
              <w:smallCaps w:val="false"/>
              <w:sz w:val="24"/>
              <w:szCs w:val="24"/>
              <w:lang w:val="en-CA" w:eastAsia="en-CA"/>
            </w:rPr>
          </w:pPr>
          <w:r>
            <w:rPr>
              <w:szCs w:val="24"/>
              <w:lang w:val="en-CA" w:eastAsia="en-CA"/>
            </w:rPr>
            <w:t>3.2</w:t>
          </w:r>
          <w:r>
            <w:rPr>
              <w:caps w:val="false"/>
              <w:smallCaps w:val="false"/>
              <w:sz w:val="24"/>
              <w:szCs w:val="24"/>
              <w:lang w:val="en-CA" w:eastAsia="en-CA"/>
            </w:rPr>
            <w:tab/>
          </w:r>
          <w:r>
            <w:rPr>
              <w:szCs w:val="24"/>
              <w:lang w:val="en-CA" w:eastAsia="en-CA"/>
            </w:rPr>
            <w:t>Model Calibration</w:t>
          </w:r>
          <w:r>
            <w:rPr>
              <w:lang w:val="en-CA" w:eastAsia="en-CA"/>
            </w:rPr>
            <w:tab/>
          </w:r>
          <w:hyperlink w:anchor="__RefHeading___Toc499707747">
            <w:r>
              <w:rPr>
                <w:rStyle w:val="IndexLink"/>
                <w:lang w:val="en-CA" w:eastAsia="en-CA"/>
              </w:rPr>
              <w:t>6</w:t>
            </w:r>
          </w:hyperlink>
        </w:p>
        <w:p>
          <w:pPr>
            <w:pStyle w:val="TOC3"/>
            <w:tabs>
              <w:tab w:val="clear" w:pos="720"/>
              <w:tab w:val="left" w:pos="1200" w:leader="none"/>
              <w:tab w:val="right" w:pos="8296" w:leader="dot"/>
            </w:tabs>
            <w:rPr>
              <w:sz w:val="24"/>
              <w:szCs w:val="24"/>
              <w:lang w:val="en-US" w:eastAsia="en-CA"/>
            </w:rPr>
          </w:pPr>
          <w:r>
            <w:rPr>
              <w:lang w:val="en-CA" w:eastAsia="en-CA"/>
            </w:rPr>
            <w:t>3.2.1</w:t>
          </w:r>
          <w:r>
            <w:rPr>
              <w:sz w:val="24"/>
              <w:szCs w:val="24"/>
              <w:lang w:val="en-US" w:eastAsia="en-CA"/>
            </w:rPr>
            <w:tab/>
          </w:r>
          <w:r>
            <w:rPr>
              <w:lang w:val="en-CA" w:eastAsia="en-CA"/>
            </w:rPr>
            <w:t>Data</w:t>
            <w:tab/>
          </w:r>
          <w:hyperlink w:anchor="__RefHeading___Toc499707748">
            <w:r>
              <w:rPr>
                <w:rStyle w:val="IndexLink"/>
                <w:lang w:val="en-CA" w:eastAsia="en-CA"/>
              </w:rPr>
              <w:t>6</w:t>
            </w:r>
          </w:hyperlink>
        </w:p>
        <w:p>
          <w:pPr>
            <w:pStyle w:val="TOC3"/>
            <w:tabs>
              <w:tab w:val="clear" w:pos="720"/>
              <w:tab w:val="left" w:pos="1200" w:leader="none"/>
              <w:tab w:val="right" w:pos="8296" w:leader="dot"/>
            </w:tabs>
            <w:rPr>
              <w:sz w:val="24"/>
              <w:szCs w:val="24"/>
              <w:lang w:val="en-US" w:eastAsia="en-CA"/>
            </w:rPr>
          </w:pPr>
          <w:r>
            <w:rPr>
              <w:lang w:val="en-CA" w:eastAsia="en-CA"/>
            </w:rPr>
            <w:t>3.2.2</w:t>
          </w:r>
          <w:r>
            <w:rPr>
              <w:sz w:val="24"/>
              <w:szCs w:val="24"/>
              <w:lang w:val="en-US" w:eastAsia="en-CA"/>
            </w:rPr>
            <w:tab/>
          </w:r>
          <w:r>
            <w:rPr>
              <w:lang w:val="en-CA" w:eastAsia="en-CA"/>
            </w:rPr>
            <w:t>Outliers</w:t>
            <w:tab/>
          </w:r>
          <w:hyperlink w:anchor="__RefHeading___Toc499707749">
            <w:r>
              <w:rPr>
                <w:rStyle w:val="IndexLink"/>
                <w:lang w:val="en-CA" w:eastAsia="en-CA"/>
              </w:rPr>
              <w:t>6</w:t>
            </w:r>
          </w:hyperlink>
        </w:p>
        <w:p>
          <w:pPr>
            <w:pStyle w:val="TOC3"/>
            <w:tabs>
              <w:tab w:val="clear" w:pos="720"/>
              <w:tab w:val="left" w:pos="1200" w:leader="none"/>
              <w:tab w:val="right" w:pos="8296" w:leader="dot"/>
            </w:tabs>
            <w:rPr>
              <w:sz w:val="24"/>
              <w:szCs w:val="24"/>
              <w:lang w:val="en-US" w:eastAsia="en-CA"/>
            </w:rPr>
          </w:pPr>
          <w:r>
            <w:rPr>
              <w:lang w:val="en-CA" w:eastAsia="en-CA"/>
            </w:rPr>
            <w:t>3.2.3</w:t>
          </w:r>
          <w:r>
            <w:rPr>
              <w:sz w:val="24"/>
              <w:szCs w:val="24"/>
              <w:lang w:val="en-US" w:eastAsia="en-CA"/>
            </w:rPr>
            <w:tab/>
          </w:r>
          <w:r>
            <w:rPr>
              <w:lang w:val="en-CA" w:eastAsia="en-CA"/>
            </w:rPr>
            <w:t>Subsidiary Companies</w:t>
            <w:tab/>
          </w:r>
          <w:hyperlink w:anchor="__RefHeading___Toc499707750">
            <w:r>
              <w:rPr>
                <w:rStyle w:val="IndexLink"/>
                <w:lang w:val="en-CA" w:eastAsia="en-CA"/>
              </w:rPr>
              <w:t>7</w:t>
            </w:r>
          </w:hyperlink>
        </w:p>
        <w:p>
          <w:pPr>
            <w:pStyle w:val="TOC2"/>
            <w:tabs>
              <w:tab w:val="left" w:pos="720" w:leader="none"/>
              <w:tab w:val="right" w:pos="8296" w:leader="dot"/>
            </w:tabs>
            <w:rPr>
              <w:caps w:val="false"/>
              <w:smallCaps w:val="false"/>
              <w:sz w:val="24"/>
              <w:szCs w:val="24"/>
              <w:lang w:val="en-CA" w:eastAsia="en-CA"/>
            </w:rPr>
          </w:pPr>
          <w:r>
            <w:rPr>
              <w:szCs w:val="24"/>
              <w:lang w:val="en-CA" w:eastAsia="en-CA"/>
            </w:rPr>
            <w:t>3.3</w:t>
          </w:r>
          <w:r>
            <w:rPr>
              <w:caps w:val="false"/>
              <w:smallCaps w:val="false"/>
              <w:sz w:val="24"/>
              <w:szCs w:val="24"/>
              <w:lang w:val="en-CA" w:eastAsia="en-CA"/>
            </w:rPr>
            <w:tab/>
          </w:r>
          <w:r>
            <w:rPr>
              <w:szCs w:val="24"/>
              <w:lang w:val="en-CA" w:eastAsia="en-CA"/>
            </w:rPr>
            <w:t>Dummy Estimation</w:t>
          </w:r>
          <w:r>
            <w:rPr>
              <w:lang w:val="en-CA" w:eastAsia="en-CA"/>
            </w:rPr>
            <w:tab/>
          </w:r>
          <w:hyperlink w:anchor="__RefHeading___Toc499707751">
            <w:r>
              <w:rPr>
                <w:rStyle w:val="IndexLink"/>
                <w:lang w:val="en-CA" w:eastAsia="en-CA"/>
              </w:rPr>
              <w:t>7</w:t>
            </w:r>
          </w:hyperlink>
        </w:p>
        <w:p>
          <w:pPr>
            <w:pStyle w:val="TOC3"/>
            <w:tabs>
              <w:tab w:val="clear" w:pos="720"/>
              <w:tab w:val="left" w:pos="1200" w:leader="none"/>
              <w:tab w:val="right" w:pos="8296" w:leader="dot"/>
            </w:tabs>
            <w:rPr>
              <w:sz w:val="24"/>
              <w:szCs w:val="24"/>
              <w:lang w:val="en-US" w:eastAsia="en-CA"/>
            </w:rPr>
          </w:pPr>
          <w:r>
            <w:rPr>
              <w:lang w:val="en-CA" w:eastAsia="en-CA"/>
            </w:rPr>
            <w:t>3.3.1</w:t>
          </w:r>
          <w:r>
            <w:rPr>
              <w:sz w:val="24"/>
              <w:szCs w:val="24"/>
              <w:lang w:val="en-US" w:eastAsia="en-CA"/>
            </w:rPr>
            <w:tab/>
          </w:r>
          <w:r>
            <w:rPr>
              <w:lang w:val="en-CA" w:eastAsia="en-CA"/>
            </w:rPr>
            <w:t>Dummy Bins</w:t>
            <w:tab/>
          </w:r>
          <w:hyperlink w:anchor="__RefHeading___Toc499707752">
            <w:r>
              <w:rPr>
                <w:rStyle w:val="IndexLink"/>
                <w:lang w:val="en-CA" w:eastAsia="en-CA"/>
              </w:rPr>
              <w:t>7</w:t>
            </w:r>
          </w:hyperlink>
        </w:p>
        <w:p>
          <w:pPr>
            <w:pStyle w:val="TOC3"/>
            <w:tabs>
              <w:tab w:val="clear" w:pos="720"/>
              <w:tab w:val="left" w:pos="1200" w:leader="none"/>
              <w:tab w:val="right" w:pos="8296" w:leader="dot"/>
            </w:tabs>
            <w:rPr>
              <w:sz w:val="24"/>
              <w:szCs w:val="24"/>
              <w:lang w:val="en-US" w:eastAsia="en-CA"/>
            </w:rPr>
          </w:pPr>
          <w:r>
            <w:rPr>
              <w:lang w:val="en-CA" w:eastAsia="en-CA"/>
            </w:rPr>
            <w:t>3.3.2</w:t>
          </w:r>
          <w:r>
            <w:rPr>
              <w:sz w:val="24"/>
              <w:szCs w:val="24"/>
              <w:lang w:val="en-US" w:eastAsia="en-CA"/>
            </w:rPr>
            <w:tab/>
          </w:r>
          <w:r>
            <w:rPr>
              <w:lang w:val="en-CA" w:eastAsia="en-CA"/>
            </w:rPr>
            <w:t>Dummy Results</w:t>
            <w:tab/>
          </w:r>
          <w:hyperlink w:anchor="__RefHeading___Toc499707753">
            <w:r>
              <w:rPr>
                <w:rStyle w:val="IndexLink"/>
                <w:lang w:val="en-CA" w:eastAsia="en-CA"/>
              </w:rPr>
              <w:t>8</w:t>
            </w:r>
          </w:hyperlink>
        </w:p>
        <w:p>
          <w:pPr>
            <w:pStyle w:val="TOC2"/>
            <w:tabs>
              <w:tab w:val="left" w:pos="720" w:leader="none"/>
              <w:tab w:val="right" w:pos="8296" w:leader="dot"/>
            </w:tabs>
            <w:rPr>
              <w:caps w:val="false"/>
              <w:smallCaps w:val="false"/>
              <w:sz w:val="24"/>
              <w:szCs w:val="24"/>
              <w:lang w:val="en-CA" w:eastAsia="en-CA"/>
            </w:rPr>
          </w:pPr>
          <w:r>
            <w:rPr>
              <w:szCs w:val="24"/>
              <w:lang w:val="en-CA" w:eastAsia="en-CA"/>
            </w:rPr>
            <w:t>3.4</w:t>
          </w:r>
          <w:r>
            <w:rPr>
              <w:caps w:val="false"/>
              <w:smallCaps w:val="false"/>
              <w:sz w:val="24"/>
              <w:szCs w:val="24"/>
              <w:lang w:val="en-CA" w:eastAsia="en-CA"/>
            </w:rPr>
            <w:tab/>
          </w:r>
          <w:r>
            <w:rPr>
              <w:szCs w:val="24"/>
              <w:lang w:val="en-CA" w:eastAsia="en-CA"/>
            </w:rPr>
            <w:t>Confidence Interval</w:t>
          </w:r>
          <w:r>
            <w:rPr>
              <w:lang w:val="en-CA" w:eastAsia="en-CA"/>
            </w:rPr>
            <w:tab/>
          </w:r>
          <w:hyperlink w:anchor="__RefHeading___Toc499707754">
            <w:r>
              <w:rPr>
                <w:rStyle w:val="IndexLink"/>
                <w:lang w:val="en-CA" w:eastAsia="en-CA"/>
              </w:rPr>
              <w:t>8</w:t>
            </w:r>
          </w:hyperlink>
        </w:p>
        <w:p>
          <w:pPr>
            <w:pStyle w:val="TOC2"/>
            <w:tabs>
              <w:tab w:val="left" w:pos="720" w:leader="none"/>
              <w:tab w:val="right" w:pos="8296" w:leader="dot"/>
            </w:tabs>
            <w:rPr>
              <w:caps w:val="false"/>
              <w:smallCaps w:val="false"/>
              <w:sz w:val="24"/>
              <w:szCs w:val="24"/>
              <w:lang w:val="en-CA" w:eastAsia="en-CA"/>
            </w:rPr>
          </w:pPr>
          <w:r>
            <w:rPr>
              <w:szCs w:val="24"/>
              <w:lang w:val="en-CA" w:eastAsia="en-CA"/>
            </w:rPr>
            <w:t>3.5</w:t>
          </w:r>
          <w:r>
            <w:rPr>
              <w:caps w:val="false"/>
              <w:smallCaps w:val="false"/>
              <w:sz w:val="24"/>
              <w:szCs w:val="24"/>
              <w:lang w:val="en-CA" w:eastAsia="en-CA"/>
            </w:rPr>
            <w:tab/>
          </w:r>
          <w:r>
            <w:rPr>
              <w:szCs w:val="24"/>
              <w:lang w:val="en-CA" w:eastAsia="en-CA"/>
            </w:rPr>
            <w:t>Confidence Score</w:t>
          </w:r>
          <w:r>
            <w:rPr>
              <w:lang w:val="en-CA" w:eastAsia="en-CA"/>
            </w:rPr>
            <w:tab/>
          </w:r>
          <w:hyperlink w:anchor="__RefHeading___Toc499707755">
            <w:r>
              <w:rPr>
                <w:rStyle w:val="IndexLink"/>
                <w:lang w:val="en-CA" w:eastAsia="en-CA"/>
              </w:rPr>
              <w:t>8</w:t>
            </w:r>
          </w:hyperlink>
        </w:p>
        <w:p>
          <w:pPr>
            <w:pStyle w:val="TOC2"/>
            <w:tabs>
              <w:tab w:val="left" w:pos="720" w:leader="none"/>
              <w:tab w:val="right" w:pos="8296" w:leader="dot"/>
            </w:tabs>
            <w:rPr>
              <w:caps w:val="false"/>
              <w:smallCaps w:val="false"/>
              <w:sz w:val="24"/>
              <w:szCs w:val="24"/>
              <w:lang w:val="en-CA" w:eastAsia="en-CA"/>
            </w:rPr>
          </w:pPr>
          <w:r>
            <w:rPr>
              <w:szCs w:val="24"/>
              <w:lang w:val="en-CA" w:eastAsia="en-CA"/>
            </w:rPr>
            <w:t>3.6</w:t>
          </w:r>
          <w:r>
            <w:rPr>
              <w:caps w:val="false"/>
              <w:smallCaps w:val="false"/>
              <w:sz w:val="24"/>
              <w:szCs w:val="24"/>
              <w:lang w:val="en-CA" w:eastAsia="en-CA"/>
            </w:rPr>
            <w:tab/>
          </w:r>
          <w:r>
            <w:rPr>
              <w:szCs w:val="24"/>
              <w:lang w:val="en-CA" w:eastAsia="en-CA"/>
            </w:rPr>
            <w:t>Future Model Evolution</w:t>
          </w:r>
          <w:r>
            <w:rPr>
              <w:lang w:val="en-CA" w:eastAsia="en-CA"/>
            </w:rPr>
            <w:tab/>
          </w:r>
          <w:hyperlink w:anchor="__RefHeading___Toc499707756">
            <w:r>
              <w:rPr>
                <w:rStyle w:val="IndexLink"/>
                <w:lang w:val="en-CA" w:eastAsia="en-CA"/>
              </w:rPr>
              <w:t>9</w:t>
            </w:r>
          </w:hyperlink>
        </w:p>
        <w:p>
          <w:pPr>
            <w:pStyle w:val="TOC1"/>
            <w:tabs>
              <w:tab w:val="clear" w:pos="720"/>
              <w:tab w:val="left" w:pos="400" w:leader="none"/>
              <w:tab w:val="right" w:pos="8296" w:leader="dot"/>
            </w:tabs>
            <w:rPr>
              <w:b w:val="false"/>
              <w:caps w:val="false"/>
              <w:smallCaps w:val="false"/>
              <w:sz w:val="24"/>
              <w:szCs w:val="24"/>
              <w:lang w:val="en-CA" w:eastAsia="en-CA"/>
            </w:rPr>
          </w:pPr>
          <w:r>
            <w:rPr>
              <w:szCs w:val="28"/>
              <w:lang w:val="en-CA" w:eastAsia="en-CA"/>
            </w:rPr>
            <w:t>4</w:t>
          </w:r>
          <w:r>
            <w:rPr>
              <w:b w:val="false"/>
              <w:caps w:val="false"/>
              <w:smallCaps w:val="false"/>
              <w:sz w:val="24"/>
              <w:szCs w:val="24"/>
              <w:lang w:val="en-CA" w:eastAsia="en-CA"/>
            </w:rPr>
            <w:tab/>
          </w:r>
          <w:r>
            <w:rPr>
              <w:szCs w:val="28"/>
              <w:lang w:val="en-CA" w:eastAsia="en-CA"/>
            </w:rPr>
            <w:t>Example Model Output</w:t>
          </w:r>
          <w:r>
            <w:rPr>
              <w:lang w:val="en-CA" w:eastAsia="en-CA"/>
            </w:rPr>
            <w:tab/>
          </w:r>
          <w:hyperlink w:anchor="__RefHeading___Toc499707757">
            <w:r>
              <w:rPr>
                <w:rStyle w:val="IndexLink"/>
                <w:lang w:val="en-CA" w:eastAsia="en-CA"/>
              </w:rPr>
              <w:t>10</w:t>
            </w:r>
          </w:hyperlink>
        </w:p>
        <w:p>
          <w:pPr>
            <w:pStyle w:val="TOC1"/>
            <w:tabs>
              <w:tab w:val="clear" w:pos="720"/>
              <w:tab w:val="left" w:pos="400" w:leader="none"/>
              <w:tab w:val="right" w:pos="8296" w:leader="dot"/>
            </w:tabs>
            <w:rPr>
              <w:sz w:val="24"/>
              <w:szCs w:val="24"/>
              <w:lang w:val="en-CA" w:eastAsia="en-CA"/>
            </w:rPr>
          </w:pPr>
          <w:r>
            <w:rPr>
              <w:b w:val="false"/>
              <w:caps w:val="false"/>
              <w:smallCaps w:val="false"/>
              <w:szCs w:val="28"/>
              <w:lang w:val="en-CA" w:eastAsia="en-CA"/>
            </w:rPr>
            <w:t>5</w:t>
          </w:r>
          <w:r>
            <w:rPr>
              <w:b w:val="false"/>
              <w:caps w:val="false"/>
              <w:smallCaps w:val="false"/>
              <w:sz w:val="24"/>
              <w:szCs w:val="24"/>
              <w:lang w:val="en-CA" w:eastAsia="en-CA"/>
            </w:rPr>
            <w:tab/>
          </w:r>
          <w:r>
            <w:rPr>
              <w:b w:val="false"/>
              <w:caps w:val="false"/>
              <w:smallCaps w:val="false"/>
              <w:szCs w:val="28"/>
              <w:lang w:val="en-CA" w:eastAsia="en-CA"/>
            </w:rPr>
            <w:t>References</w:t>
          </w:r>
          <w:r>
            <w:rPr>
              <w:b w:val="false"/>
              <w:caps w:val="false"/>
              <w:smallCaps w:val="false"/>
              <w:lang w:val="en-CA" w:eastAsia="en-CA"/>
            </w:rPr>
            <w:tab/>
          </w:r>
          <w:hyperlink w:anchor="__RefHeading___Toc499707758">
            <w:r>
              <w:rPr>
                <w:rStyle w:val="IndexLink"/>
                <w:b w:val="false"/>
                <w:caps w:val="false"/>
                <w:smallCaps w:val="false"/>
                <w:lang w:val="en-CA" w:eastAsia="en-CA"/>
              </w:rPr>
              <w:t>11</w:t>
            </w:r>
          </w:hyperlink>
          <w:r>
            <w:rPr>
              <w:rStyle w:val="IndexLink"/>
              <w:smallCaps w:val="false"/>
              <w:caps w:val="false"/>
              <w:b w:val="false"/>
              <w:lang w:val="en-CA" w:eastAsia="en-CA"/>
            </w:rPr>
            <w:fldChar w:fldCharType="end"/>
          </w:r>
        </w:p>
      </w:sdtContent>
    </w:sdt>
    <w:p>
      <w:pPr>
        <w:pStyle w:val="Normal"/>
        <w:rPr>
          <w:b/>
          <w:caps/>
          <w:sz w:val="24"/>
          <w:szCs w:val="24"/>
          <w:lang w:val="en-CA" w:eastAsia="en-CA"/>
        </w:rPr>
      </w:pPr>
      <w:r>
        <w:rPr>
          <w:b/>
          <w:caps/>
          <w:sz w:val="24"/>
          <w:szCs w:val="24"/>
          <w:lang w:val="en-CA" w:eastAsia="en-CA"/>
        </w:rPr>
      </w:r>
      <w:r>
        <w:br w:type="page"/>
      </w:r>
    </w:p>
    <w:p>
      <w:pPr>
        <w:pStyle w:val="Heading1"/>
        <w:ind w:hanging="0" w:start="0"/>
        <w:rPr/>
      </w:pPr>
      <w:r>
        <w:rPr>
          <w:rFonts w:eastAsia="Arial"/>
        </w:rPr>
        <w:t xml:space="preserve"> </w:t>
      </w:r>
      <w:bookmarkStart w:id="0" w:name="__RefHeading___Toc499707739"/>
      <w:r>
        <w:rPr/>
        <w:t>Introduction</w:t>
      </w:r>
      <w:bookmarkEnd w:id="0"/>
    </w:p>
    <w:p>
      <w:pPr>
        <w:pStyle w:val="Normal"/>
        <w:jc w:val="both"/>
        <w:rPr/>
      </w:pPr>
      <w:r>
        <w:rPr/>
      </w:r>
    </w:p>
    <w:p>
      <w:pPr>
        <w:pStyle w:val="Normal"/>
        <w:jc w:val="both"/>
        <w:rPr/>
      </w:pPr>
      <w:r>
        <w:rPr/>
        <w:t>The purpose of this document is to describe the preliminary version of the Placement Model, and the regression methodology behind the model. It is intended reading for EnronCredit, and for the Research Group.</w:t>
      </w:r>
    </w:p>
    <w:p>
      <w:pPr>
        <w:pStyle w:val="Normal"/>
        <w:jc w:val="both"/>
        <w:rPr/>
      </w:pPr>
      <w:r>
        <w:rPr/>
      </w:r>
    </w:p>
    <w:p>
      <w:pPr>
        <w:pStyle w:val="Normal"/>
        <w:jc w:val="both"/>
        <w:rPr/>
      </w:pPr>
      <w:r>
        <w:rPr/>
        <w:t>The initial version of the Placement Model has been designed alongside the FMC Model and Movement Model to facilitate bankruptcy swap pricing of 10,000 names on the EnronCredit website by 1 Jan 2001. The model is a multivariate linear regression with dummified variables.</w:t>
      </w:r>
    </w:p>
    <w:p>
      <w:pPr>
        <w:pStyle w:val="Normal"/>
        <w:jc w:val="both"/>
        <w:rPr/>
      </w:pPr>
      <w:r>
        <w:rPr/>
      </w:r>
    </w:p>
    <w:p>
      <w:pPr>
        <w:pStyle w:val="Normal"/>
        <w:jc w:val="both"/>
        <w:rPr/>
      </w:pPr>
      <w:r>
        <w:rPr/>
        <w:t>The model was designed with the help of Amitava Dhar, George Albanis and the traders.</w:t>
      </w:r>
    </w:p>
    <w:p>
      <w:pPr>
        <w:pStyle w:val="Normal"/>
        <w:jc w:val="both"/>
        <w:rPr/>
      </w:pPr>
      <w:r>
        <w:rPr/>
      </w:r>
    </w:p>
    <w:p>
      <w:pPr>
        <w:pStyle w:val="Heading1"/>
        <w:ind w:hanging="0" w:start="0"/>
        <w:rPr/>
      </w:pPr>
      <w:bookmarkStart w:id="1" w:name="__RefHeading___Toc499707740"/>
      <w:bookmarkEnd w:id="1"/>
      <w:r>
        <w:rPr/>
        <w:t>EnronCredit Pricing Model Architecture</w:t>
      </w:r>
    </w:p>
    <w:p>
      <w:pPr>
        <w:pStyle w:val="Normal"/>
        <w:rPr/>
      </w:pPr>
      <w:r>
        <w:rPr/>
      </w:r>
    </w:p>
    <w:p>
      <w:pPr>
        <w:pStyle w:val="Normal"/>
        <w:rPr/>
      </w:pPr>
      <w:r>
        <w:rPr/>
        <w:t>The EnronCredit pricing engine revolves around three complementary models: FMC Model, Placement Model and Movement Model. The FMC model produce generic CDS price curves for each rating, country and industry. The Placement model takes new names, statistically estimates a CDS price and uses this price to place the name on the nearest FMC curve. The Movement model tracks news, announcements and price information for all the names, alerts traders when a significant event occurs, and offers a suggested price change given such an alert.</w:t>
      </w:r>
    </w:p>
    <w:p>
      <w:pPr>
        <w:pStyle w:val="Normal"/>
        <w:rPr/>
      </w:pPr>
      <w:r>
        <w:rPr/>
      </w:r>
    </w:p>
    <w:p>
      <w:pPr>
        <w:pStyle w:val="Heading2"/>
        <w:ind w:hanging="0" w:start="0"/>
        <w:rPr/>
      </w:pPr>
      <w:bookmarkStart w:id="2" w:name="__RefHeading___Toc499707741"/>
      <w:bookmarkEnd w:id="2"/>
      <w:r>
        <w:rPr/>
        <w:t>FMC Model</w:t>
      </w:r>
      <w:r>
        <w:rPr>
          <w:rStyle w:val="FootnoteCharacters"/>
          <w:rStyle w:val="FootnoteReference"/>
        </w:rPr>
        <w:footnoteReference w:id="2"/>
      </w:r>
    </w:p>
    <w:p>
      <w:pPr>
        <w:pStyle w:val="Normal"/>
        <w:rPr/>
      </w:pPr>
      <w:r>
        <w:rPr/>
      </w:r>
    </w:p>
    <w:p>
      <w:pPr>
        <w:pStyle w:val="Normal"/>
        <w:rPr/>
      </w:pPr>
      <w:r>
        <w:rPr/>
        <w:t xml:space="preserve">The FMC model uses Bloomberg’s Fair Market Curves, asset swap prices and market CDS quotes to build generic CDS price curves for each rating, industry and country. The Bloomberg curves are used to derive theoretical CDS price curves for US industrials, and asset swap prices used to derive the industry and country offsets. The FMC model will define a percentage industry offset </w:t>
      </w:r>
      <w:r>
        <w:rPr>
          <w:i/>
          <w:iCs/>
        </w:rPr>
        <w:t>d</w:t>
      </w:r>
      <w:r>
        <w:rPr>
          <w:i/>
          <w:iCs/>
          <w:vertAlign w:val="subscript"/>
        </w:rPr>
        <w:t>I</w:t>
      </w:r>
      <w:r>
        <w:rPr/>
        <w:t xml:space="preserve"> and an absolute country offset </w:t>
      </w:r>
      <w:r>
        <w:rPr>
          <w:i/>
          <w:iCs/>
        </w:rPr>
        <w:t>d</w:t>
      </w:r>
      <w:r>
        <w:rPr>
          <w:i/>
          <w:iCs/>
          <w:vertAlign w:val="subscript"/>
        </w:rPr>
        <w:t>C</w:t>
      </w:r>
      <w:r>
        <w:rPr/>
        <w:t xml:space="preserve">. Using these mappings there will be a unique industry and country specific FMC curve for rating </w:t>
      </w:r>
      <w:r>
        <w:rPr>
          <w:i/>
          <w:iCs/>
        </w:rPr>
        <w:t>K</w:t>
      </w:r>
      <w:r>
        <w:rPr/>
        <w:t xml:space="preserve"> within the system, defined as </w:t>
      </w:r>
      <w:r>
        <w:rPr/>
      </w:r>
      <m:oMath xmlns:m="http://schemas.openxmlformats.org/officeDocument/2006/math">
        <m:sSub>
          <m:e>
            <m:r>
              <m:t xml:space="preserve">C</m:t>
            </m:r>
          </m:e>
          <m:sub>
            <m:r>
              <m:rPr>
                <m:lit/>
                <m:nor/>
              </m:rPr>
              <m:t xml:space="preserve">ICK</m:t>
            </m:r>
          </m:sub>
        </m:sSub>
        <m:r>
          <m:t xml:space="preserve">(</m:t>
        </m:r>
        <m:r>
          <m:t xml:space="preserve">t</m:t>
        </m:r>
        <m:r>
          <m:t xml:space="preserve">)</m:t>
        </m:r>
      </m:oMath>
      <w:r>
        <w:rPr/>
        <w:t>, where:</w:t>
      </w:r>
    </w:p>
    <w:p>
      <w:pPr>
        <w:pStyle w:val="Normal"/>
        <w:ind w:firstLine="720" w:end="0"/>
        <w:rPr/>
      </w:pPr>
      <w:r>
        <w:rPr/>
      </w:r>
      <m:oMath xmlns:m="http://schemas.openxmlformats.org/officeDocument/2006/math">
        <m:sSub>
          <m:e>
            <m:r>
              <m:t xml:space="preserve">C</m:t>
            </m:r>
          </m:e>
          <m:sub>
            <m:r>
              <m:rPr>
                <m:lit/>
                <m:nor/>
              </m:rPr>
              <m:t xml:space="preserve">ICK</m:t>
            </m:r>
          </m:sub>
        </m:sSub>
        <m:r>
          <m:t xml:space="preserve">(</m:t>
        </m:r>
        <m:r>
          <m:t xml:space="preserve">t</m:t>
        </m:r>
        <m:r>
          <m:t xml:space="preserve">)</m:t>
        </m:r>
        <m:r>
          <m:t xml:space="preserve">=</m:t>
        </m:r>
        <m:sSub>
          <m:e>
            <m:r>
              <m:t xml:space="preserve">d</m:t>
            </m:r>
          </m:e>
          <m:sub>
            <m:r>
              <m:t xml:space="preserve">C</m:t>
            </m:r>
          </m:sub>
        </m:sSub>
        <m:r>
          <m:t xml:space="preserve">+</m:t>
        </m:r>
        <m:r>
          <m:t xml:space="preserve">(</m:t>
        </m:r>
        <m:r>
          <m:t xml:space="preserve">1</m:t>
        </m:r>
        <m:r>
          <m:t xml:space="preserve">+</m:t>
        </m:r>
        <m:sSub>
          <m:e>
            <m:r>
              <m:t xml:space="preserve">d</m:t>
            </m:r>
          </m:e>
          <m:sub>
            <m:r>
              <m:t xml:space="preserve">I</m:t>
            </m:r>
          </m:sub>
        </m:sSub>
        <m:r>
          <m:t xml:space="preserve">)</m:t>
        </m:r>
        <m:sSub>
          <m:e>
            <m:r>
              <m:t xml:space="preserve">C</m:t>
            </m:r>
          </m:e>
          <m:sub>
            <m:r>
              <m:t xml:space="preserve">K</m:t>
            </m:r>
          </m:sub>
        </m:sSub>
        <m:r>
          <m:t xml:space="preserve">(</m:t>
        </m:r>
        <m:r>
          <m:t xml:space="preserve">t</m:t>
        </m:r>
        <m:r>
          <m:t xml:space="preserve">)</m:t>
        </m:r>
      </m:oMath>
      <w:r>
        <w:rPr/>
        <w:t>.</w:t>
      </w:r>
    </w:p>
    <w:p>
      <w:pPr>
        <w:pStyle w:val="Normal"/>
        <w:ind w:firstLine="720" w:end="0"/>
        <w:rPr/>
      </w:pPr>
      <w:r>
        <w:rPr/>
      </w:r>
    </w:p>
    <w:p>
      <w:pPr>
        <w:pStyle w:val="FootnoteText"/>
        <w:rPr/>
      </w:pPr>
      <w:r>
        <w:rPr/>
        <w:t>The model allows for a large degree of subjectivity, as the user can overwrite all the benchmark curves and offsets.</w:t>
      </w:r>
    </w:p>
    <w:p>
      <w:pPr>
        <w:pStyle w:val="Normal"/>
        <w:ind w:firstLine="720" w:end="0"/>
        <w:rPr/>
      </w:pPr>
      <w:r>
        <w:rPr/>
      </w:r>
    </w:p>
    <w:p>
      <w:pPr>
        <w:pStyle w:val="Heading2"/>
        <w:ind w:hanging="0" w:start="0"/>
        <w:rPr/>
      </w:pPr>
      <w:bookmarkStart w:id="3" w:name="__RefHeading___Toc499707742"/>
      <w:bookmarkEnd w:id="3"/>
      <w:r>
        <w:rPr/>
        <w:t>Placement Model</w:t>
      </w:r>
    </w:p>
    <w:p>
      <w:pPr>
        <w:pStyle w:val="Normal"/>
        <w:rPr/>
      </w:pPr>
      <w:r>
        <w:rPr/>
      </w:r>
    </w:p>
    <w:p>
      <w:pPr>
        <w:pStyle w:val="Normal"/>
        <w:rPr/>
      </w:pPr>
      <w:r>
        <w:rPr/>
        <w:t xml:space="preserve">The placement model uses statistical techniques based upon observed market prices to predict the 5-year CDS price for a new name as </w:t>
      </w:r>
      <w:r>
        <w:rPr>
          <w:i/>
          <w:iCs/>
        </w:rPr>
        <w:t>P</w:t>
      </w:r>
      <w:r>
        <w:rPr/>
        <w:t xml:space="preserve">(5). The model uses this predicted price along with the set of US industrial FMC curves </w:t>
      </w:r>
      <w:r>
        <w:rPr/>
      </w:r>
      <m:oMath xmlns:m="http://schemas.openxmlformats.org/officeDocument/2006/math">
        <m:sSub>
          <m:e>
            <m:r>
              <m:t xml:space="preserve">C</m:t>
            </m:r>
          </m:e>
          <m:sub>
            <m:r>
              <m:t xml:space="preserve">i</m:t>
            </m:r>
          </m:sub>
        </m:sSub>
        <m:r>
          <m:t xml:space="preserve">(</m:t>
        </m:r>
        <m:r>
          <m:t xml:space="preserve">t</m:t>
        </m:r>
        <m:r>
          <m:t xml:space="preserve">)</m:t>
        </m:r>
      </m:oMath>
      <w:r>
        <w:rPr/>
        <w:t xml:space="preserve"> to find the closest curve </w:t>
      </w:r>
      <w:r>
        <w:rPr>
          <w:i/>
          <w:iCs/>
        </w:rPr>
        <w:t>K</w:t>
      </w:r>
      <w:r>
        <w:rPr/>
        <w:t xml:space="preserve"> along with the percentage spread </w:t>
      </w:r>
      <w:r>
        <w:rPr>
          <w:rFonts w:eastAsia="Symbol" w:cs="Symbol" w:ascii="Symbol" w:hAnsi="Symbol"/>
        </w:rPr>
        <w:sym w:font="Symbol" w:char="f061"/>
      </w:r>
      <w:r>
        <w:rPr/>
        <w:t xml:space="preserve"> between the price and that curve.</w:t>
      </w:r>
    </w:p>
    <w:p>
      <w:pPr>
        <w:pStyle w:val="Normal"/>
        <w:rPr/>
      </w:pPr>
      <w:r>
        <w:rPr/>
      </w:r>
    </w:p>
    <w:p>
      <w:pPr>
        <w:pStyle w:val="Heading2"/>
        <w:ind w:hanging="0" w:start="0"/>
        <w:rPr/>
      </w:pPr>
      <w:bookmarkStart w:id="4" w:name="__RefHeading___Toc499707743"/>
      <w:bookmarkEnd w:id="4"/>
      <w:r>
        <w:rPr/>
        <w:t>Movement Model</w:t>
      </w:r>
    </w:p>
    <w:p>
      <w:pPr>
        <w:pStyle w:val="Normal"/>
        <w:rPr/>
      </w:pPr>
      <w:r>
        <w:rPr/>
      </w:r>
    </w:p>
    <w:p>
      <w:pPr>
        <w:pStyle w:val="Normal"/>
        <w:rPr/>
      </w:pPr>
      <w:r>
        <w:rPr/>
        <w:t>In its initial state the movement model is simply an alerts system. Each time a predetermined event occurs an alert is posted on the trader’s screen displaying the nature of the alert and the company it is affecting. The next stage of the movement model will be to propose a CDS price movement to the trader based on the alert.</w:t>
      </w:r>
    </w:p>
    <w:p>
      <w:pPr>
        <w:pStyle w:val="Normal"/>
        <w:rPr/>
      </w:pPr>
      <w:r>
        <w:rPr/>
      </w:r>
      <w:r>
        <w:br w:type="page"/>
      </w:r>
    </w:p>
    <w:p>
      <w:pPr>
        <w:pStyle w:val="Heading1"/>
        <w:ind w:hanging="0" w:start="0"/>
        <w:rPr/>
      </w:pPr>
      <w:bookmarkStart w:id="5" w:name="__RefHeading___Toc499707744"/>
      <w:bookmarkEnd w:id="5"/>
      <w:r>
        <w:rPr/>
        <w:t>Placement Model</w:t>
      </w:r>
    </w:p>
    <w:p>
      <w:pPr>
        <w:pStyle w:val="Normal"/>
        <w:rPr/>
      </w:pPr>
      <w:r>
        <w:rPr/>
      </w:r>
    </w:p>
    <w:p>
      <w:pPr>
        <w:pStyle w:val="Normal"/>
        <w:rPr/>
      </w:pPr>
      <w:r>
        <w:rPr/>
        <w:t>The Placement Model uses a form of multiple linear regression with dummified input variables. The outputs of the model are initially a predicted 5-year CDS price, 95% confidence interval for the prediction, and a confidence score. The name is then mapped on to the FMC curves.</w:t>
      </w:r>
    </w:p>
    <w:p>
      <w:pPr>
        <w:pStyle w:val="Normal"/>
        <w:rPr/>
      </w:pPr>
      <w:r>
        <w:rPr/>
      </w:r>
    </w:p>
    <w:p>
      <w:pPr>
        <w:pStyle w:val="Heading2"/>
        <w:ind w:hanging="0" w:start="0"/>
        <w:rPr/>
      </w:pPr>
      <w:bookmarkStart w:id="6" w:name="__RefHeading___Toc499707745"/>
      <w:bookmarkEnd w:id="6"/>
      <w:r>
        <w:rPr/>
        <w:t>CDS Price Prediction</w:t>
      </w:r>
    </w:p>
    <w:p>
      <w:pPr>
        <w:pStyle w:val="Normal"/>
        <w:rPr/>
      </w:pPr>
      <w:r>
        <w:rPr/>
      </w:r>
    </w:p>
    <w:p>
      <w:pPr>
        <w:pStyle w:val="Normal"/>
        <w:rPr/>
      </w:pPr>
      <w:r>
        <w:rPr/>
        <w:t>The Expected CDS Price is predicted as an exponential function of dummy variables representing core financial information about the company. The formula is thus:</w:t>
      </w:r>
    </w:p>
    <w:p>
      <w:pPr>
        <w:pStyle w:val="Normal"/>
        <w:rPr/>
      </w:pPr>
      <w:r>
        <w:rPr/>
      </w:r>
    </w:p>
    <w:p>
      <w:pPr>
        <w:pStyle w:val="Normal"/>
        <w:rPr/>
      </w:pPr>
      <w:r>
        <w:rPr/>
        <w:tab/>
      </w:r>
      <w:r>
        <w:rPr/>
      </w:r>
      <m:oMath xmlns:m="http://schemas.openxmlformats.org/officeDocument/2006/math">
        <m:r>
          <m:t xml:space="preserve">y</m:t>
        </m:r>
        <m:r>
          <m:t xml:space="preserve">=</m:t>
        </m:r>
        <m:r>
          <m:rPr>
            <m:lit/>
            <m:nor/>
          </m:rPr>
          <m:t xml:space="preserve">exp</m:t>
        </m:r>
        <m:d>
          <m:dPr>
            <m:begChr m:val="("/>
            <m:endChr m:val=")"/>
          </m:dPr>
          <m:e>
            <m:sSub>
              <m:e>
                <m:r>
                  <m:t xml:space="preserve">β</m:t>
                </m:r>
              </m:e>
              <m:sub>
                <m:r>
                  <m:t xml:space="preserve">0</m:t>
                </m:r>
              </m:sub>
            </m:sSub>
            <m:r>
              <m:t xml:space="preserve">+</m:t>
            </m:r>
            <m:nary>
              <m:naryPr>
                <m:chr m:val="∑"/>
                <m:subHide m:val="1"/>
                <m:supHide m:val="1"/>
              </m:naryPr>
              <m:sub/>
              <m:sup/>
              <m:e>
                <m:sSub>
                  <m:e>
                    <m:r>
                      <m:t xml:space="preserve">β</m:t>
                    </m:r>
                  </m:e>
                  <m:sub>
                    <m:r>
                      <m:t xml:space="preserve">i</m:t>
                    </m:r>
                  </m:sub>
                </m:sSub>
                <m:sSub>
                  <m:e>
                    <m:r>
                      <m:t xml:space="preserve">X</m:t>
                    </m:r>
                  </m:e>
                  <m:sub>
                    <m:r>
                      <m:t xml:space="preserve">i</m:t>
                    </m:r>
                  </m:sub>
                </m:sSub>
              </m:e>
            </m:nary>
          </m:e>
        </m:d>
      </m:oMath>
    </w:p>
    <w:p>
      <w:pPr>
        <w:pStyle w:val="Normal"/>
        <w:rPr/>
      </w:pPr>
      <w:r>
        <w:rPr/>
      </w:r>
    </w:p>
    <w:p>
      <w:pPr>
        <w:pStyle w:val="Normal"/>
        <w:rPr/>
      </w:pPr>
      <w:r>
        <w:rPr/>
        <w:t xml:space="preserve">where: </w:t>
        <w:tab/>
      </w:r>
      <w:r>
        <w:rPr>
          <w:i/>
          <w:iCs/>
        </w:rPr>
        <w:t>y</w:t>
      </w:r>
      <w:r>
        <w:rPr/>
        <w:t xml:space="preserve"> = predicted CDS price</w:t>
      </w:r>
    </w:p>
    <w:p>
      <w:pPr>
        <w:pStyle w:val="Normal"/>
        <w:rPr/>
      </w:pPr>
      <w:r>
        <w:rPr/>
        <w:tab/>
      </w:r>
      <w:r>
        <w:rPr>
          <w:rFonts w:eastAsia="Symbol" w:cs="Symbol" w:ascii="Symbol" w:hAnsi="Symbol"/>
        </w:rPr>
        <w:sym w:font="Symbol" w:char="f062"/>
      </w:r>
      <w:r>
        <w:rPr>
          <w:vertAlign w:val="subscript"/>
        </w:rPr>
        <w:t>0</w:t>
      </w:r>
      <w:r>
        <w:rPr/>
        <w:t xml:space="preserve"> is the constant term in the regression</w:t>
      </w:r>
    </w:p>
    <w:p>
      <w:pPr>
        <w:pStyle w:val="Normal"/>
        <w:rPr/>
      </w:pPr>
      <w:r>
        <w:rPr/>
        <w:tab/>
      </w:r>
      <w:r>
        <w:rPr>
          <w:rFonts w:eastAsia="Symbol" w:cs="Symbol" w:ascii="Symbol" w:hAnsi="Symbol"/>
        </w:rPr>
        <w:sym w:font="Symbol" w:char="f062"/>
      </w:r>
      <w:r>
        <w:rPr>
          <w:i/>
          <w:iCs/>
          <w:vertAlign w:val="subscript"/>
        </w:rPr>
        <w:t>i</w:t>
      </w:r>
      <w:r>
        <w:rPr/>
        <w:t xml:space="preserve"> are the parameter estimates</w:t>
      </w:r>
    </w:p>
    <w:p>
      <w:pPr>
        <w:pStyle w:val="Normal"/>
        <w:rPr/>
      </w:pPr>
      <w:r>
        <w:rPr/>
        <w:tab/>
      </w:r>
      <w:r>
        <w:rPr>
          <w:i/>
          <w:iCs/>
        </w:rPr>
        <w:t>X</w:t>
      </w:r>
      <w:r>
        <w:rPr>
          <w:i/>
          <w:iCs/>
          <w:vertAlign w:val="subscript"/>
        </w:rPr>
        <w:t>i</w:t>
      </w:r>
      <w:r>
        <w:rPr/>
        <w:t xml:space="preserve"> are dummy variables</w:t>
      </w:r>
    </w:p>
    <w:p>
      <w:pPr>
        <w:pStyle w:val="Normal"/>
        <w:rPr/>
      </w:pPr>
      <w:r>
        <w:rPr/>
      </w:r>
    </w:p>
    <w:p>
      <w:pPr>
        <w:pStyle w:val="Heading3"/>
        <w:ind w:hanging="0" w:start="0"/>
        <w:rPr/>
      </w:pPr>
      <w:bookmarkStart w:id="7" w:name="__RefHeading___Toc499707746"/>
      <w:bookmarkEnd w:id="7"/>
      <w:r>
        <w:rPr/>
        <w:t>Dummification</w:t>
      </w:r>
    </w:p>
    <w:p>
      <w:pPr>
        <w:pStyle w:val="Normal"/>
        <w:rPr/>
      </w:pPr>
      <w:r>
        <w:rPr/>
      </w:r>
    </w:p>
    <w:p>
      <w:pPr>
        <w:pStyle w:val="Normal"/>
        <w:rPr/>
      </w:pPr>
      <w:r>
        <w:rPr/>
        <w:t>The objective of using dummy variables is to represent the input-output relationship as a non-linear step function rather than a linear function. As the number of dummies increases the dummification process will approximate to any non-linear function. The method also enables the optimal estimation of any non-linear relationship within a linear framework.</w:t>
      </w:r>
    </w:p>
    <w:p>
      <w:pPr>
        <w:pStyle w:val="Normal"/>
        <w:rPr/>
      </w:pPr>
      <w:r>
        <w:rPr/>
      </w:r>
    </w:p>
    <w:p>
      <w:pPr>
        <w:pStyle w:val="Normal"/>
        <w:rPr/>
      </w:pPr>
      <w:r>
        <w:rPr/>
        <w:t xml:space="preserve">By splitting the input space into ranges and then dummifying these ranges it is easy to see the relative effects of the variables and to verify that the relationships make intuitive sense. The dummy variables will all take only one of two values – 0 or 1 – so the </w:t>
      </w:r>
      <w:r>
        <w:rPr>
          <w:rFonts w:eastAsia="Symbol" w:cs="Symbol" w:ascii="Symbol" w:hAnsi="Symbol"/>
        </w:rPr>
        <w:sym w:font="Symbol" w:char="f062"/>
      </w:r>
      <w:r>
        <w:rPr/>
        <w:t xml:space="preserve"> estimates inform immediately about the comparative significance of the variables. With the exponential formulation above, the effect of dummy variable </w:t>
      </w:r>
      <w:r>
        <w:rPr>
          <w:i/>
          <w:iCs/>
        </w:rPr>
        <w:t>i</w:t>
      </w:r>
      <w:r>
        <w:rPr/>
        <w:t xml:space="preserve"> is to multiply the prediction by exp(</w:t>
      </w:r>
      <w:r>
        <w:rPr>
          <w:rFonts w:eastAsia="Symbol" w:cs="Symbol" w:ascii="Symbol" w:hAnsi="Symbol"/>
        </w:rPr>
        <w:sym w:font="Symbol" w:char="f062"/>
      </w:r>
      <w:r>
        <w:rPr>
          <w:i/>
          <w:iCs/>
          <w:vertAlign w:val="subscript"/>
        </w:rPr>
        <w:t>i</w:t>
      </w:r>
      <w:r>
        <w:rPr/>
        <w:t xml:space="preserve">). One can also ensure parameter estimates are consistent with intuition by verifying that dummy estimates </w:t>
      </w:r>
      <w:r>
        <w:rPr>
          <w:rFonts w:eastAsia="Symbol" w:cs="Symbol" w:ascii="Symbol" w:hAnsi="Symbol"/>
        </w:rPr>
        <w:sym w:font="Symbol" w:char="f062"/>
      </w:r>
      <w:r>
        <w:rPr>
          <w:i/>
          <w:iCs/>
          <w:vertAlign w:val="subscript"/>
        </w:rPr>
        <w:t>i</w:t>
      </w:r>
      <w:r>
        <w:rPr/>
        <w:t xml:space="preserve"> have the correct signs relative to one another.</w:t>
      </w:r>
    </w:p>
    <w:p>
      <w:pPr>
        <w:pStyle w:val="Normal"/>
        <w:rPr/>
      </w:pPr>
      <w:r>
        <w:rPr/>
      </w:r>
    </w:p>
    <w:p>
      <w:pPr>
        <w:pStyle w:val="Heading2"/>
        <w:ind w:hanging="0" w:start="0"/>
        <w:rPr/>
      </w:pPr>
      <w:bookmarkStart w:id="8" w:name="__RefHeading___Toc499707747"/>
      <w:bookmarkEnd w:id="8"/>
      <w:r>
        <w:rPr/>
        <w:t>Model Calibration</w:t>
      </w:r>
    </w:p>
    <w:p>
      <w:pPr>
        <w:pStyle w:val="Heading3"/>
        <w:ind w:hanging="0" w:start="0"/>
        <w:rPr/>
      </w:pPr>
      <w:bookmarkStart w:id="9" w:name="__RefHeading___Toc499707748"/>
      <w:bookmarkEnd w:id="9"/>
      <w:r>
        <w:rPr/>
        <w:t>Data</w:t>
      </w:r>
    </w:p>
    <w:p>
      <w:pPr>
        <w:pStyle w:val="Normal"/>
        <w:rPr/>
      </w:pPr>
      <w:r>
        <w:rPr/>
      </w:r>
    </w:p>
    <w:p>
      <w:pPr>
        <w:pStyle w:val="Normal"/>
        <w:rPr/>
      </w:pPr>
      <w:r>
        <w:rPr/>
        <w:t>The trading desk supplied us with 650 quotes for 5-year credit default swaps on different names. The quotes were either direct market quotes, or ‘pseudo-market’ quotes, where the traders estimated where the market on a name would be given its financial state. These quotes were matched with financial data from Bloomberg and EDFs from KMV. The model was designed to price illiquid names with no traded debt and no credit rating, so potentially significant variables such as rating or asset swap price were ignored.</w:t>
      </w:r>
    </w:p>
    <w:p>
      <w:pPr>
        <w:pStyle w:val="Normal"/>
        <w:rPr/>
      </w:pPr>
      <w:r>
        <w:rPr/>
      </w:r>
    </w:p>
    <w:p>
      <w:pPr>
        <w:pStyle w:val="Heading3"/>
        <w:ind w:hanging="0" w:start="0"/>
        <w:rPr/>
      </w:pPr>
      <w:bookmarkStart w:id="10" w:name="__RefHeading___Toc499707749"/>
      <w:bookmarkEnd w:id="10"/>
      <w:r>
        <w:rPr/>
        <w:t>Outliers</w:t>
      </w:r>
    </w:p>
    <w:p>
      <w:pPr>
        <w:pStyle w:val="Normal"/>
        <w:rPr/>
      </w:pPr>
      <w:r>
        <w:rPr/>
      </w:r>
    </w:p>
    <w:p>
      <w:pPr>
        <w:pStyle w:val="Normal"/>
        <w:rPr/>
      </w:pPr>
      <w:r>
        <w:rPr/>
        <w:t>Several names had mostly missing data, so were omitted from the analysis. Also some names were omitted as outliers. An outlier was defined as a name with a price greater than two standard deviations away from the predicted value, where this discrepancy was explained by information not captured by the model. Examples were Coca-Cola Bottling Co (COKE US Equity), which has strong ownership ties to Coca-Cola Beverages (KO US Equity), but not a strict parent-sub relationship; and Caisse Natl Credit Agricole (CNCA FP Equity), which is the parent company of the entire Credit Agricole group, but with a market cap of only €449m ($600m).</w:t>
      </w:r>
    </w:p>
    <w:p>
      <w:pPr>
        <w:pStyle w:val="Normal"/>
        <w:rPr/>
      </w:pPr>
      <w:r>
        <w:rPr/>
      </w:r>
    </w:p>
    <w:p>
      <w:pPr>
        <w:pStyle w:val="Heading3"/>
        <w:ind w:hanging="0" w:start="0"/>
        <w:rPr/>
      </w:pPr>
      <w:bookmarkStart w:id="11" w:name="__RefHeading___Toc499707750"/>
      <w:bookmarkEnd w:id="11"/>
      <w:r>
        <w:rPr/>
        <w:t>Subsidiary Companies</w:t>
      </w:r>
    </w:p>
    <w:p>
      <w:pPr>
        <w:pStyle w:val="Normal"/>
        <w:rPr/>
      </w:pPr>
      <w:r>
        <w:rPr/>
      </w:r>
    </w:p>
    <w:p>
      <w:pPr>
        <w:pStyle w:val="Normal"/>
        <w:rPr/>
      </w:pPr>
      <w:r>
        <w:rPr/>
        <w:t>One major test performed on the model was of the accuracy across subsidiary and non-subsidiary companies. Calibrating the model strictly on non-subsidiaries increased the accuracy against calibrating using the whole dataset. Applying the resulting model to the subsidiaries saw a significant decline in accuracy.</w:t>
      </w:r>
      <w:r>
        <w:rPr>
          <w:rStyle w:val="FootnoteCharacters"/>
          <w:rStyle w:val="FootnoteReference"/>
        </w:rPr>
        <w:footnoteReference w:id="3"/>
      </w:r>
      <w:r>
        <w:rPr/>
        <w:t xml:space="preserve"> For this reason the model was focused on non-subsidiaries only. The model to price subsidiary companies will need to include more detail about the parent-sub relationship, the parent’s other holdings and the parent’s price themselves. This will be a model for 2001.</w:t>
      </w:r>
    </w:p>
    <w:p>
      <w:pPr>
        <w:pStyle w:val="Normal"/>
        <w:rPr/>
      </w:pPr>
      <w:r>
        <w:rPr/>
      </w:r>
    </w:p>
    <w:p>
      <w:pPr>
        <w:pStyle w:val="Normal"/>
        <w:rPr/>
      </w:pPr>
      <w:r>
        <w:rPr/>
      </w:r>
    </w:p>
    <w:p>
      <w:pPr>
        <w:pStyle w:val="Heading2"/>
        <w:ind w:hanging="0" w:start="0"/>
        <w:rPr/>
      </w:pPr>
      <w:bookmarkStart w:id="12" w:name="__RefHeading___Toc499707751"/>
      <w:bookmarkEnd w:id="12"/>
      <w:r>
        <w:rPr/>
        <w:t>Dummy Estimation</w:t>
      </w:r>
    </w:p>
    <w:p>
      <w:pPr>
        <w:pStyle w:val="Heading3"/>
        <w:ind w:hanging="0" w:start="0"/>
        <w:rPr/>
      </w:pPr>
      <w:bookmarkStart w:id="13" w:name="__RefHeading___Toc499707752"/>
      <w:bookmarkEnd w:id="13"/>
      <w:r>
        <w:rPr/>
        <w:t>Dummy Bins</w:t>
      </w:r>
    </w:p>
    <w:p>
      <w:pPr>
        <w:pStyle w:val="Normal"/>
        <w:rPr/>
      </w:pPr>
      <w:r>
        <w:rPr/>
      </w:r>
    </w:p>
    <w:p>
      <w:pPr>
        <w:pStyle w:val="Normal"/>
        <w:rPr/>
      </w:pPr>
      <w:r>
        <w:rPr/>
        <w:t>To divide the input variable ranges into appropriate bins we split the variable into percentiles, then examined the mean CDS price corresponding to each percentile. Below is a graphical representation for Volatility.</w:t>
      </w:r>
    </w:p>
    <w:p>
      <w:pPr>
        <w:pStyle w:val="Normal"/>
        <w:rPr/>
      </w:pPr>
      <w:r>
        <w:rPr/>
      </w:r>
    </w:p>
    <w:p>
      <w:pPr>
        <w:pStyle w:val="Normal"/>
        <w:rPr/>
      </w:pPr>
      <w:r>
        <w:rPr/>
        <w:object w:dxaOrig="8960" w:dyaOrig="4097">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426.75pt;height:210pt" filled="f" o:ole="">
            <v:imagedata r:id="rId8" o:title=""/>
          </v:shape>
          <o:OLEObject Type="Embed" ProgID="Excel.Sheet.12" ShapeID="ole_rId7" DrawAspect="Content" ObjectID="_1668634221" r:id="rId7"/>
        </w:object>
      </w:r>
    </w:p>
    <w:p>
      <w:pPr>
        <w:pStyle w:val="Normal"/>
        <w:rPr/>
      </w:pPr>
      <w:r>
        <w:rPr/>
        <w:t>Identification of the regions with distinct CDS means allows estimation of the correct bins to pick. In the above example bins 1-7, 8-15 and 16-20 were all grouped together. Bins can then be grouped together or dropped depending on their parameter estimates in the model.</w:t>
      </w:r>
    </w:p>
    <w:p>
      <w:pPr>
        <w:pStyle w:val="Normal"/>
        <w:rPr/>
      </w:pPr>
      <w:r>
        <w:rPr/>
      </w:r>
    </w:p>
    <w:p>
      <w:pPr>
        <w:pStyle w:val="Normal"/>
        <w:rPr/>
      </w:pPr>
      <w:r>
        <w:rPr/>
        <w:t>Missing values are mapped to the region with mean CDS price closest the mean for the missing values in the calibration dataset.</w:t>
      </w:r>
    </w:p>
    <w:p>
      <w:pPr>
        <w:pStyle w:val="Normal"/>
        <w:rPr/>
      </w:pPr>
      <w:r>
        <w:rPr/>
      </w:r>
    </w:p>
    <w:p>
      <w:pPr>
        <w:pStyle w:val="Normal"/>
        <w:rPr/>
      </w:pPr>
      <w:r>
        <w:rPr/>
        <w:t>The number of dummies used will always be the number of bins minus one, to avoid any linear dependence between the explanatory variables.</w:t>
      </w:r>
      <w:r>
        <w:br w:type="page"/>
      </w:r>
    </w:p>
    <w:p>
      <w:pPr>
        <w:pStyle w:val="Heading3"/>
        <w:ind w:hanging="0" w:start="0"/>
        <w:rPr/>
      </w:pPr>
      <w:bookmarkStart w:id="14" w:name="__RefHeading___Toc499707753"/>
      <w:bookmarkEnd w:id="14"/>
      <w:r>
        <w:rPr/>
        <w:t>Dummy Results</w:t>
      </w:r>
    </w:p>
    <w:p>
      <w:pPr>
        <w:pStyle w:val="Normal"/>
        <w:rPr/>
      </w:pPr>
      <w:r>
        <w:rPr/>
      </w:r>
    </w:p>
    <w:tbl>
      <w:tblPr>
        <w:tblpPr w:vertAnchor="text" w:horzAnchor="margin" w:tblpXSpec="left" w:rightFromText="180" w:tblpY="146"/>
        <w:tblOverlap w:val="never"/>
        <w:tblW w:w="5000" w:type="pct"/>
        <w:jc w:val="start"/>
        <w:tblInd w:w="0" w:type="dxa"/>
        <w:tblLayout w:type="fixed"/>
        <w:tblCellMar>
          <w:top w:w="0" w:type="dxa"/>
          <w:start w:w="0" w:type="dxa"/>
          <w:bottom w:w="0" w:type="dxa"/>
          <w:end w:w="0" w:type="dxa"/>
        </w:tblCellMar>
      </w:tblPr>
      <w:tblGrid>
        <w:gridCol w:w="934"/>
        <w:gridCol w:w="498"/>
        <w:gridCol w:w="498"/>
        <w:gridCol w:w="498"/>
        <w:gridCol w:w="498"/>
        <w:gridCol w:w="498"/>
        <w:gridCol w:w="608"/>
        <w:gridCol w:w="498"/>
        <w:gridCol w:w="498"/>
        <w:gridCol w:w="498"/>
        <w:gridCol w:w="717"/>
        <w:gridCol w:w="824"/>
        <w:gridCol w:w="934"/>
        <w:gridCol w:w="608"/>
        <w:gridCol w:w="606"/>
      </w:tblGrid>
      <w:tr>
        <w:trPr>
          <w:trHeight w:val="2850" w:hRule="atLeast"/>
        </w:trPr>
        <w:tc>
          <w:tcPr>
            <w:tcW w:w="934" w:type="dxa"/>
            <w:tcBorders>
              <w:top w:val="single" w:sz="12" w:space="0" w:color="000000"/>
              <w:bottom w:val="single" w:sz="6" w:space="0" w:color="000000"/>
            </w:tcBorders>
            <w:shd w:fill="800080" w:val="clear"/>
            <w:textDirection w:val="tbRl"/>
            <w:vAlign w:val="center"/>
          </w:tcPr>
          <w:p>
            <w:pPr>
              <w:pStyle w:val="Normal"/>
              <w:snapToGrid w:val="false"/>
              <w:ind w:start="113" w:end="113"/>
              <w:jc w:val="end"/>
              <w:rPr>
                <w:rFonts w:ascii="Tahoma" w:hAnsi="Tahoma" w:eastAsia="Arial Unicode MS" w:cs="Tahoma"/>
                <w:b/>
                <w:bCs/>
                <w:color w:val="FFFFFF"/>
              </w:rPr>
            </w:pPr>
            <w:r>
              <w:rPr>
                <w:rFonts w:eastAsia="Arial Unicode MS" w:cs="Tahoma" w:ascii="Tahoma" w:hAnsi="Tahoma"/>
                <w:b/>
                <w:bCs/>
                <w:color w:val="FFFFFF"/>
              </w:rPr>
            </w:r>
          </w:p>
        </w:tc>
        <w:tc>
          <w:tcPr>
            <w:tcW w:w="49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EDF</w:t>
            </w:r>
          </w:p>
        </w:tc>
        <w:tc>
          <w:tcPr>
            <w:tcW w:w="49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EDF</w:t>
            </w:r>
          </w:p>
        </w:tc>
        <w:tc>
          <w:tcPr>
            <w:tcW w:w="49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EDF</w:t>
            </w:r>
          </w:p>
        </w:tc>
        <w:tc>
          <w:tcPr>
            <w:tcW w:w="49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EQY_BETA_STDDEV_ERR</w:t>
            </w:r>
          </w:p>
        </w:tc>
        <w:tc>
          <w:tcPr>
            <w:tcW w:w="49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EQY_BETA_STDDEV_ERR</w:t>
            </w:r>
          </w:p>
        </w:tc>
        <w:tc>
          <w:tcPr>
            <w:tcW w:w="60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DVD_PAYOUT_RATIO</w:t>
            </w:r>
          </w:p>
        </w:tc>
        <w:tc>
          <w:tcPr>
            <w:tcW w:w="49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DIV_YLD</w:t>
            </w:r>
          </w:p>
        </w:tc>
        <w:tc>
          <w:tcPr>
            <w:tcW w:w="49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EBITDA_INT_COV</w:t>
            </w:r>
          </w:p>
        </w:tc>
        <w:tc>
          <w:tcPr>
            <w:tcW w:w="49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IBES_PEG_RATIO_NXT_YR</w:t>
            </w:r>
          </w:p>
        </w:tc>
        <w:tc>
          <w:tcPr>
            <w:tcW w:w="717"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CUR_MKT_CAP_$</w:t>
            </w:r>
          </w:p>
        </w:tc>
        <w:tc>
          <w:tcPr>
            <w:tcW w:w="824"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CUR_MKT_CAP_$</w:t>
            </w:r>
          </w:p>
        </w:tc>
        <w:tc>
          <w:tcPr>
            <w:tcW w:w="934"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CUR_MKT_CAP_$</w:t>
            </w:r>
          </w:p>
        </w:tc>
        <w:tc>
          <w:tcPr>
            <w:tcW w:w="608"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VOLATILITY_90D</w:t>
            </w:r>
          </w:p>
        </w:tc>
        <w:tc>
          <w:tcPr>
            <w:tcW w:w="606" w:type="dxa"/>
            <w:tcBorders>
              <w:top w:val="single" w:sz="12" w:space="0" w:color="000000"/>
              <w:bottom w:val="single" w:sz="6" w:space="0" w:color="000000"/>
            </w:tcBorders>
            <w:shd w:fill="800080" w:val="clear"/>
            <w:textDirection w:val="tbRl"/>
            <w:vAlign w:val="center"/>
          </w:tcPr>
          <w:p>
            <w:pPr>
              <w:pStyle w:val="Normal"/>
              <w:ind w:start="113" w:end="113"/>
              <w:jc w:val="end"/>
              <w:rPr>
                <w:rFonts w:ascii="Tahoma" w:hAnsi="Tahoma" w:eastAsia="Arial Unicode MS" w:cs="Tahoma"/>
                <w:color w:val="FFFFFF"/>
              </w:rPr>
            </w:pPr>
            <w:r>
              <w:rPr>
                <w:rFonts w:cs="Tahoma" w:ascii="Tahoma" w:hAnsi="Tahoma"/>
                <w:color w:val="FFFFFF"/>
              </w:rPr>
              <w:t>VOLATILITY_90D</w:t>
            </w:r>
          </w:p>
        </w:tc>
      </w:tr>
      <w:tr>
        <w:trPr>
          <w:trHeight w:val="255" w:hRule="atLeast"/>
        </w:trPr>
        <w:tc>
          <w:tcPr>
            <w:tcW w:w="934" w:type="dxa"/>
            <w:tcBorders/>
            <w:shd w:fill="C0C0C0" w:val="clear"/>
            <w:vAlign w:val="bottom"/>
          </w:tcPr>
          <w:p>
            <w:pPr>
              <w:pStyle w:val="Normal"/>
              <w:rPr>
                <w:rFonts w:ascii="Tahoma" w:hAnsi="Tahoma" w:eastAsia="Arial Unicode MS" w:cs="Tahoma"/>
                <w:b/>
                <w:bCs/>
              </w:rPr>
            </w:pPr>
            <w:r>
              <w:rPr>
                <w:rFonts w:cs="Tahoma" w:ascii="Tahoma" w:hAnsi="Tahoma"/>
                <w:b/>
                <w:bCs/>
              </w:rPr>
              <w:t>MIN</w:t>
            </w:r>
          </w:p>
        </w:tc>
        <w:tc>
          <w:tcPr>
            <w:tcW w:w="498" w:type="dxa"/>
            <w:tcBorders/>
            <w:vAlign w:val="bottom"/>
          </w:tcPr>
          <w:p>
            <w:pPr>
              <w:pStyle w:val="Normal"/>
              <w:rPr>
                <w:rFonts w:ascii="Tahoma" w:hAnsi="Tahoma" w:eastAsia="Arial Unicode MS" w:cs="Tahoma"/>
              </w:rPr>
            </w:pPr>
            <w:r>
              <w:rPr>
                <w:rFonts w:cs="Tahoma" w:ascii="Tahoma" w:hAnsi="Tahoma"/>
              </w:rPr>
              <w:t> </w:t>
            </w:r>
          </w:p>
        </w:tc>
        <w:tc>
          <w:tcPr>
            <w:tcW w:w="498" w:type="dxa"/>
            <w:tcBorders/>
            <w:vAlign w:val="bottom"/>
          </w:tcPr>
          <w:p>
            <w:pPr>
              <w:pStyle w:val="Normal"/>
              <w:jc w:val="end"/>
              <w:rPr>
                <w:rFonts w:ascii="Tahoma" w:hAnsi="Tahoma" w:eastAsia="Arial Unicode MS" w:cs="Tahoma"/>
              </w:rPr>
            </w:pPr>
            <w:r>
              <w:rPr>
                <w:rFonts w:cs="Tahoma" w:ascii="Tahoma" w:hAnsi="Tahoma"/>
              </w:rPr>
              <w:t>0.04</w:t>
            </w:r>
          </w:p>
        </w:tc>
        <w:tc>
          <w:tcPr>
            <w:tcW w:w="498" w:type="dxa"/>
            <w:tcBorders/>
            <w:vAlign w:val="bottom"/>
          </w:tcPr>
          <w:p>
            <w:pPr>
              <w:pStyle w:val="Normal"/>
              <w:jc w:val="end"/>
              <w:rPr>
                <w:rFonts w:ascii="Tahoma" w:hAnsi="Tahoma" w:eastAsia="Arial Unicode MS" w:cs="Tahoma"/>
              </w:rPr>
            </w:pPr>
            <w:r>
              <w:rPr>
                <w:rFonts w:cs="Tahoma" w:ascii="Tahoma" w:hAnsi="Tahoma"/>
              </w:rPr>
              <w:t>0.56</w:t>
            </w:r>
          </w:p>
        </w:tc>
        <w:tc>
          <w:tcPr>
            <w:tcW w:w="498" w:type="dxa"/>
            <w:tcBorders/>
            <w:vAlign w:val="bottom"/>
          </w:tcPr>
          <w:p>
            <w:pPr>
              <w:pStyle w:val="Normal"/>
              <w:rPr>
                <w:rFonts w:ascii="Tahoma" w:hAnsi="Tahoma" w:eastAsia="Arial Unicode MS" w:cs="Tahoma"/>
              </w:rPr>
            </w:pPr>
            <w:r>
              <w:rPr>
                <w:rFonts w:cs="Tahoma" w:ascii="Tahoma" w:hAnsi="Tahoma"/>
              </w:rPr>
              <w:t> </w:t>
            </w:r>
          </w:p>
        </w:tc>
        <w:tc>
          <w:tcPr>
            <w:tcW w:w="498" w:type="dxa"/>
            <w:tcBorders/>
            <w:vAlign w:val="bottom"/>
          </w:tcPr>
          <w:p>
            <w:pPr>
              <w:pStyle w:val="Normal"/>
              <w:jc w:val="end"/>
              <w:rPr>
                <w:rFonts w:ascii="Tahoma" w:hAnsi="Tahoma" w:eastAsia="Arial Unicode MS" w:cs="Tahoma"/>
              </w:rPr>
            </w:pPr>
            <w:r>
              <w:rPr>
                <w:rFonts w:cs="Tahoma" w:ascii="Tahoma" w:hAnsi="Tahoma"/>
              </w:rPr>
              <w:t>5.40</w:t>
            </w:r>
          </w:p>
        </w:tc>
        <w:tc>
          <w:tcPr>
            <w:tcW w:w="608" w:type="dxa"/>
            <w:tcBorders/>
            <w:vAlign w:val="bottom"/>
          </w:tcPr>
          <w:p>
            <w:pPr>
              <w:pStyle w:val="Normal"/>
              <w:rPr>
                <w:rFonts w:ascii="Tahoma" w:hAnsi="Tahoma" w:eastAsia="Arial Unicode MS" w:cs="Tahoma"/>
              </w:rPr>
            </w:pPr>
            <w:r>
              <w:rPr>
                <w:rFonts w:cs="Tahoma" w:ascii="Tahoma" w:hAnsi="Tahoma"/>
              </w:rPr>
              <w:t> </w:t>
            </w:r>
          </w:p>
        </w:tc>
        <w:tc>
          <w:tcPr>
            <w:tcW w:w="498" w:type="dxa"/>
            <w:tcBorders/>
            <w:vAlign w:val="bottom"/>
          </w:tcPr>
          <w:p>
            <w:pPr>
              <w:pStyle w:val="Normal"/>
              <w:rPr>
                <w:rFonts w:ascii="Tahoma" w:hAnsi="Tahoma" w:eastAsia="Arial Unicode MS" w:cs="Tahoma"/>
              </w:rPr>
            </w:pPr>
            <w:r>
              <w:rPr>
                <w:rFonts w:cs="Tahoma" w:ascii="Tahoma" w:hAnsi="Tahoma"/>
              </w:rPr>
              <w:t> </w:t>
            </w:r>
          </w:p>
        </w:tc>
        <w:tc>
          <w:tcPr>
            <w:tcW w:w="498" w:type="dxa"/>
            <w:tcBorders/>
            <w:vAlign w:val="bottom"/>
          </w:tcPr>
          <w:p>
            <w:pPr>
              <w:pStyle w:val="Normal"/>
              <w:rPr>
                <w:rFonts w:ascii="Tahoma" w:hAnsi="Tahoma" w:eastAsia="Arial Unicode MS" w:cs="Tahoma"/>
              </w:rPr>
            </w:pPr>
            <w:r>
              <w:rPr>
                <w:rFonts w:cs="Tahoma" w:ascii="Tahoma" w:hAnsi="Tahoma"/>
              </w:rPr>
              <w:t> </w:t>
            </w:r>
          </w:p>
        </w:tc>
        <w:tc>
          <w:tcPr>
            <w:tcW w:w="498" w:type="dxa"/>
            <w:tcBorders/>
            <w:vAlign w:val="bottom"/>
          </w:tcPr>
          <w:p>
            <w:pPr>
              <w:pStyle w:val="Normal"/>
              <w:rPr>
                <w:rFonts w:ascii="Tahoma" w:hAnsi="Tahoma" w:eastAsia="Arial Unicode MS" w:cs="Tahoma"/>
              </w:rPr>
            </w:pPr>
            <w:r>
              <w:rPr>
                <w:rFonts w:cs="Tahoma" w:ascii="Tahoma" w:hAnsi="Tahoma"/>
              </w:rPr>
              <w:t> </w:t>
            </w:r>
          </w:p>
        </w:tc>
        <w:tc>
          <w:tcPr>
            <w:tcW w:w="717" w:type="dxa"/>
            <w:tcBorders/>
            <w:vAlign w:val="bottom"/>
          </w:tcPr>
          <w:p>
            <w:pPr>
              <w:pStyle w:val="Normal"/>
              <w:rPr>
                <w:rFonts w:ascii="Tahoma" w:hAnsi="Tahoma" w:eastAsia="Arial Unicode MS" w:cs="Tahoma"/>
              </w:rPr>
            </w:pPr>
            <w:r>
              <w:rPr>
                <w:rFonts w:cs="Tahoma" w:ascii="Tahoma" w:hAnsi="Tahoma"/>
              </w:rPr>
              <w:t> </w:t>
            </w:r>
          </w:p>
        </w:tc>
        <w:tc>
          <w:tcPr>
            <w:tcW w:w="824" w:type="dxa"/>
            <w:tcBorders/>
            <w:vAlign w:val="bottom"/>
          </w:tcPr>
          <w:p>
            <w:pPr>
              <w:pStyle w:val="Normal"/>
              <w:jc w:val="end"/>
              <w:rPr>
                <w:rFonts w:ascii="Tahoma" w:hAnsi="Tahoma" w:eastAsia="Arial Unicode MS" w:cs="Tahoma"/>
              </w:rPr>
            </w:pPr>
            <w:r>
              <w:rPr>
                <w:rFonts w:cs="Tahoma" w:ascii="Tahoma" w:hAnsi="Tahoma"/>
              </w:rPr>
              <w:t>523</w:t>
            </w:r>
          </w:p>
        </w:tc>
        <w:tc>
          <w:tcPr>
            <w:tcW w:w="934" w:type="dxa"/>
            <w:tcBorders/>
            <w:vAlign w:val="bottom"/>
          </w:tcPr>
          <w:p>
            <w:pPr>
              <w:pStyle w:val="Normal"/>
              <w:jc w:val="end"/>
              <w:rPr>
                <w:rFonts w:ascii="Tahoma" w:hAnsi="Tahoma" w:eastAsia="Arial Unicode MS" w:cs="Tahoma"/>
              </w:rPr>
            </w:pPr>
            <w:r>
              <w:rPr>
                <w:rFonts w:cs="Tahoma" w:ascii="Tahoma" w:hAnsi="Tahoma"/>
              </w:rPr>
              <w:t>4184</w:t>
            </w:r>
          </w:p>
        </w:tc>
        <w:tc>
          <w:tcPr>
            <w:tcW w:w="608" w:type="dxa"/>
            <w:tcBorders/>
            <w:vAlign w:val="bottom"/>
          </w:tcPr>
          <w:p>
            <w:pPr>
              <w:pStyle w:val="Normal"/>
              <w:rPr>
                <w:rFonts w:ascii="Tahoma" w:hAnsi="Tahoma" w:eastAsia="Arial Unicode MS" w:cs="Tahoma"/>
              </w:rPr>
            </w:pPr>
            <w:r>
              <w:rPr>
                <w:rFonts w:cs="Tahoma" w:ascii="Tahoma" w:hAnsi="Tahoma"/>
              </w:rPr>
              <w:t> </w:t>
            </w:r>
          </w:p>
        </w:tc>
        <w:tc>
          <w:tcPr>
            <w:tcW w:w="606" w:type="dxa"/>
            <w:tcBorders/>
            <w:vAlign w:val="bottom"/>
          </w:tcPr>
          <w:p>
            <w:pPr>
              <w:pStyle w:val="Normal"/>
              <w:jc w:val="end"/>
              <w:rPr>
                <w:rFonts w:ascii="Tahoma" w:hAnsi="Tahoma" w:eastAsia="Arial Unicode MS" w:cs="Tahoma"/>
              </w:rPr>
            </w:pPr>
            <w:r>
              <w:rPr>
                <w:rFonts w:cs="Tahoma" w:ascii="Tahoma" w:hAnsi="Tahoma"/>
              </w:rPr>
              <w:t>34.47</w:t>
            </w:r>
          </w:p>
        </w:tc>
      </w:tr>
      <w:tr>
        <w:trPr>
          <w:trHeight w:val="255" w:hRule="atLeast"/>
        </w:trPr>
        <w:tc>
          <w:tcPr>
            <w:tcW w:w="934" w:type="dxa"/>
            <w:tcBorders/>
            <w:shd w:fill="C0C0C0" w:val="clear"/>
            <w:vAlign w:val="bottom"/>
          </w:tcPr>
          <w:p>
            <w:pPr>
              <w:pStyle w:val="Normal"/>
              <w:rPr>
                <w:rFonts w:ascii="Tahoma" w:hAnsi="Tahoma" w:eastAsia="Arial Unicode MS" w:cs="Tahoma"/>
                <w:b/>
                <w:bCs/>
              </w:rPr>
            </w:pPr>
            <w:r>
              <w:rPr>
                <w:rFonts w:cs="Tahoma" w:ascii="Tahoma" w:hAnsi="Tahoma"/>
                <w:b/>
                <w:bCs/>
              </w:rPr>
              <w:t>MAX</w:t>
            </w:r>
          </w:p>
        </w:tc>
        <w:tc>
          <w:tcPr>
            <w:tcW w:w="498" w:type="dxa"/>
            <w:tcBorders/>
            <w:vAlign w:val="bottom"/>
          </w:tcPr>
          <w:p>
            <w:pPr>
              <w:pStyle w:val="Normal"/>
              <w:jc w:val="end"/>
              <w:rPr>
                <w:rFonts w:ascii="Tahoma" w:hAnsi="Tahoma" w:eastAsia="Arial Unicode MS" w:cs="Tahoma"/>
              </w:rPr>
            </w:pPr>
            <w:r>
              <w:rPr>
                <w:rFonts w:cs="Tahoma" w:ascii="Tahoma" w:hAnsi="Tahoma"/>
              </w:rPr>
              <w:t>0.04</w:t>
            </w:r>
          </w:p>
        </w:tc>
        <w:tc>
          <w:tcPr>
            <w:tcW w:w="498" w:type="dxa"/>
            <w:tcBorders/>
            <w:vAlign w:val="bottom"/>
          </w:tcPr>
          <w:p>
            <w:pPr>
              <w:pStyle w:val="Normal"/>
              <w:jc w:val="end"/>
              <w:rPr>
                <w:rFonts w:ascii="Tahoma" w:hAnsi="Tahoma" w:eastAsia="Arial Unicode MS" w:cs="Tahoma"/>
              </w:rPr>
            </w:pPr>
            <w:r>
              <w:rPr>
                <w:rFonts w:cs="Tahoma" w:ascii="Tahoma" w:hAnsi="Tahoma"/>
              </w:rPr>
              <w:t>0.56</w:t>
            </w:r>
          </w:p>
        </w:tc>
        <w:tc>
          <w:tcPr>
            <w:tcW w:w="498" w:type="dxa"/>
            <w:tcBorders/>
            <w:vAlign w:val="bottom"/>
          </w:tcPr>
          <w:p>
            <w:pPr>
              <w:pStyle w:val="Normal"/>
              <w:jc w:val="end"/>
              <w:rPr>
                <w:rFonts w:ascii="Tahoma" w:hAnsi="Tahoma" w:eastAsia="Arial Unicode MS" w:cs="Tahoma"/>
              </w:rPr>
            </w:pPr>
            <w:r>
              <w:rPr>
                <w:rFonts w:cs="Tahoma" w:ascii="Tahoma" w:hAnsi="Tahoma"/>
              </w:rPr>
              <w:t>2.12</w:t>
            </w:r>
          </w:p>
        </w:tc>
        <w:tc>
          <w:tcPr>
            <w:tcW w:w="498" w:type="dxa"/>
            <w:tcBorders/>
            <w:vAlign w:val="bottom"/>
          </w:tcPr>
          <w:p>
            <w:pPr>
              <w:pStyle w:val="Normal"/>
              <w:jc w:val="end"/>
              <w:rPr>
                <w:rFonts w:ascii="Tahoma" w:hAnsi="Tahoma" w:eastAsia="Arial Unicode MS" w:cs="Tahoma"/>
              </w:rPr>
            </w:pPr>
            <w:r>
              <w:rPr>
                <w:rFonts w:cs="Tahoma" w:ascii="Tahoma" w:hAnsi="Tahoma"/>
              </w:rPr>
              <w:t>5.40</w:t>
            </w:r>
          </w:p>
        </w:tc>
        <w:tc>
          <w:tcPr>
            <w:tcW w:w="498" w:type="dxa"/>
            <w:tcBorders/>
            <w:vAlign w:val="bottom"/>
          </w:tcPr>
          <w:p>
            <w:pPr>
              <w:pStyle w:val="Normal"/>
              <w:jc w:val="end"/>
              <w:rPr>
                <w:rFonts w:ascii="Tahoma" w:hAnsi="Tahoma" w:eastAsia="Arial Unicode MS" w:cs="Tahoma"/>
              </w:rPr>
            </w:pPr>
            <w:r>
              <w:rPr>
                <w:rFonts w:cs="Tahoma" w:ascii="Tahoma" w:hAnsi="Tahoma"/>
              </w:rPr>
              <w:t>6.52</w:t>
            </w:r>
          </w:p>
        </w:tc>
        <w:tc>
          <w:tcPr>
            <w:tcW w:w="608" w:type="dxa"/>
            <w:tcBorders/>
            <w:vAlign w:val="bottom"/>
          </w:tcPr>
          <w:p>
            <w:pPr>
              <w:pStyle w:val="Normal"/>
              <w:jc w:val="end"/>
              <w:rPr>
                <w:rFonts w:ascii="Tahoma" w:hAnsi="Tahoma" w:eastAsia="Arial Unicode MS" w:cs="Tahoma"/>
              </w:rPr>
            </w:pPr>
            <w:r>
              <w:rPr>
                <w:rFonts w:cs="Tahoma" w:ascii="Tahoma" w:hAnsi="Tahoma"/>
              </w:rPr>
              <w:t>11.18</w:t>
            </w:r>
          </w:p>
        </w:tc>
        <w:tc>
          <w:tcPr>
            <w:tcW w:w="498" w:type="dxa"/>
            <w:tcBorders/>
            <w:vAlign w:val="bottom"/>
          </w:tcPr>
          <w:p>
            <w:pPr>
              <w:pStyle w:val="Normal"/>
              <w:jc w:val="end"/>
              <w:rPr>
                <w:rFonts w:ascii="Tahoma" w:hAnsi="Tahoma" w:eastAsia="Arial Unicode MS" w:cs="Tahoma"/>
              </w:rPr>
            </w:pPr>
            <w:r>
              <w:rPr>
                <w:rFonts w:cs="Tahoma" w:ascii="Tahoma" w:hAnsi="Tahoma"/>
              </w:rPr>
              <w:t>0.00</w:t>
            </w:r>
          </w:p>
        </w:tc>
        <w:tc>
          <w:tcPr>
            <w:tcW w:w="498" w:type="dxa"/>
            <w:tcBorders/>
            <w:vAlign w:val="bottom"/>
          </w:tcPr>
          <w:p>
            <w:pPr>
              <w:pStyle w:val="Normal"/>
              <w:jc w:val="end"/>
              <w:rPr>
                <w:rFonts w:ascii="Tahoma" w:hAnsi="Tahoma" w:eastAsia="Arial Unicode MS" w:cs="Tahoma"/>
              </w:rPr>
            </w:pPr>
            <w:r>
              <w:rPr>
                <w:rFonts w:cs="Tahoma" w:ascii="Tahoma" w:hAnsi="Tahoma"/>
              </w:rPr>
              <w:t>3.92</w:t>
            </w:r>
          </w:p>
        </w:tc>
        <w:tc>
          <w:tcPr>
            <w:tcW w:w="498" w:type="dxa"/>
            <w:tcBorders/>
            <w:vAlign w:val="bottom"/>
          </w:tcPr>
          <w:p>
            <w:pPr>
              <w:pStyle w:val="Normal"/>
              <w:jc w:val="end"/>
              <w:rPr>
                <w:rFonts w:ascii="Tahoma" w:hAnsi="Tahoma" w:eastAsia="Arial Unicode MS" w:cs="Tahoma"/>
              </w:rPr>
            </w:pPr>
            <w:r>
              <w:rPr>
                <w:rFonts w:cs="Tahoma" w:ascii="Tahoma" w:hAnsi="Tahoma"/>
              </w:rPr>
              <w:t>1.00</w:t>
            </w:r>
          </w:p>
        </w:tc>
        <w:tc>
          <w:tcPr>
            <w:tcW w:w="717" w:type="dxa"/>
            <w:tcBorders/>
            <w:vAlign w:val="bottom"/>
          </w:tcPr>
          <w:p>
            <w:pPr>
              <w:pStyle w:val="Normal"/>
              <w:jc w:val="end"/>
              <w:rPr>
                <w:rFonts w:ascii="Tahoma" w:hAnsi="Tahoma" w:eastAsia="Arial Unicode MS" w:cs="Tahoma"/>
              </w:rPr>
            </w:pPr>
            <w:r>
              <w:rPr>
                <w:rFonts w:cs="Tahoma" w:ascii="Tahoma" w:hAnsi="Tahoma"/>
              </w:rPr>
              <w:t>523</w:t>
            </w:r>
          </w:p>
        </w:tc>
        <w:tc>
          <w:tcPr>
            <w:tcW w:w="824" w:type="dxa"/>
            <w:tcBorders/>
            <w:vAlign w:val="bottom"/>
          </w:tcPr>
          <w:p>
            <w:pPr>
              <w:pStyle w:val="Normal"/>
              <w:jc w:val="end"/>
              <w:rPr>
                <w:rFonts w:ascii="Tahoma" w:hAnsi="Tahoma" w:eastAsia="Arial Unicode MS" w:cs="Tahoma"/>
              </w:rPr>
            </w:pPr>
            <w:r>
              <w:rPr>
                <w:rFonts w:cs="Tahoma" w:ascii="Tahoma" w:hAnsi="Tahoma"/>
              </w:rPr>
              <w:t>4184</w:t>
            </w:r>
          </w:p>
        </w:tc>
        <w:tc>
          <w:tcPr>
            <w:tcW w:w="934" w:type="dxa"/>
            <w:tcBorders/>
            <w:vAlign w:val="bottom"/>
          </w:tcPr>
          <w:p>
            <w:pPr>
              <w:pStyle w:val="Normal"/>
              <w:jc w:val="end"/>
              <w:rPr>
                <w:rFonts w:ascii="Tahoma" w:hAnsi="Tahoma" w:eastAsia="Arial Unicode MS" w:cs="Tahoma"/>
              </w:rPr>
            </w:pPr>
            <w:r>
              <w:rPr>
                <w:rFonts w:cs="Tahoma" w:ascii="Tahoma" w:hAnsi="Tahoma"/>
              </w:rPr>
              <w:t>24454</w:t>
            </w:r>
          </w:p>
        </w:tc>
        <w:tc>
          <w:tcPr>
            <w:tcW w:w="608" w:type="dxa"/>
            <w:tcBorders/>
            <w:vAlign w:val="bottom"/>
          </w:tcPr>
          <w:p>
            <w:pPr>
              <w:pStyle w:val="Normal"/>
              <w:jc w:val="end"/>
              <w:rPr>
                <w:rFonts w:ascii="Tahoma" w:hAnsi="Tahoma" w:eastAsia="Arial Unicode MS" w:cs="Tahoma"/>
              </w:rPr>
            </w:pPr>
            <w:r>
              <w:rPr>
                <w:rFonts w:cs="Tahoma" w:ascii="Tahoma" w:hAnsi="Tahoma"/>
              </w:rPr>
              <w:t>34.47</w:t>
            </w:r>
          </w:p>
        </w:tc>
        <w:tc>
          <w:tcPr>
            <w:tcW w:w="606" w:type="dxa"/>
            <w:tcBorders/>
            <w:vAlign w:val="bottom"/>
          </w:tcPr>
          <w:p>
            <w:pPr>
              <w:pStyle w:val="Normal"/>
              <w:jc w:val="end"/>
              <w:rPr>
                <w:rFonts w:ascii="Tahoma" w:hAnsi="Tahoma" w:eastAsia="Arial Unicode MS" w:cs="Tahoma"/>
              </w:rPr>
            </w:pPr>
            <w:r>
              <w:rPr>
                <w:rFonts w:cs="Tahoma" w:ascii="Tahoma" w:hAnsi="Tahoma"/>
              </w:rPr>
              <w:t>49.88</w:t>
            </w:r>
          </w:p>
        </w:tc>
      </w:tr>
      <w:tr>
        <w:trPr>
          <w:trHeight w:val="255" w:hRule="atLeast"/>
        </w:trPr>
        <w:tc>
          <w:tcPr>
            <w:tcW w:w="934" w:type="dxa"/>
            <w:tcBorders>
              <w:bottom w:val="single" w:sz="12" w:space="0" w:color="000000"/>
            </w:tcBorders>
            <w:shd w:fill="C0C0C0" w:val="clear"/>
            <w:vAlign w:val="bottom"/>
          </w:tcPr>
          <w:p>
            <w:pPr>
              <w:pStyle w:val="Normal"/>
              <w:rPr>
                <w:rFonts w:ascii="Tahoma" w:hAnsi="Tahoma" w:eastAsia="Arial Unicode MS" w:cs="Tahoma"/>
                <w:b/>
                <w:bCs/>
              </w:rPr>
            </w:pPr>
            <w:r>
              <w:rPr>
                <w:rFonts w:eastAsia="Arial Unicode MS" w:cs="Tahoma" w:ascii="Tahoma" w:hAnsi="Tahoma"/>
                <w:b/>
                <w:bCs/>
              </w:rPr>
              <w:t>BETA</w:t>
            </w:r>
          </w:p>
        </w:tc>
        <w:tc>
          <w:tcPr>
            <w:tcW w:w="49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-0.70</w:t>
            </w:r>
          </w:p>
        </w:tc>
        <w:tc>
          <w:tcPr>
            <w:tcW w:w="49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-0.37</w:t>
            </w:r>
          </w:p>
        </w:tc>
        <w:tc>
          <w:tcPr>
            <w:tcW w:w="49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-0.29</w:t>
            </w:r>
          </w:p>
        </w:tc>
        <w:tc>
          <w:tcPr>
            <w:tcW w:w="49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-0.34</w:t>
            </w:r>
          </w:p>
        </w:tc>
        <w:tc>
          <w:tcPr>
            <w:tcW w:w="49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-0.22</w:t>
            </w:r>
          </w:p>
        </w:tc>
        <w:tc>
          <w:tcPr>
            <w:tcW w:w="60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0.20</w:t>
            </w:r>
          </w:p>
        </w:tc>
        <w:tc>
          <w:tcPr>
            <w:tcW w:w="49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0.17</w:t>
            </w:r>
          </w:p>
        </w:tc>
        <w:tc>
          <w:tcPr>
            <w:tcW w:w="49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0.26</w:t>
            </w:r>
          </w:p>
        </w:tc>
        <w:tc>
          <w:tcPr>
            <w:tcW w:w="49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0.19</w:t>
            </w:r>
          </w:p>
        </w:tc>
        <w:tc>
          <w:tcPr>
            <w:tcW w:w="717"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0.89</w:t>
            </w:r>
          </w:p>
        </w:tc>
        <w:tc>
          <w:tcPr>
            <w:tcW w:w="824"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0.70</w:t>
            </w:r>
          </w:p>
        </w:tc>
        <w:tc>
          <w:tcPr>
            <w:tcW w:w="934"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0.34</w:t>
            </w:r>
          </w:p>
        </w:tc>
        <w:tc>
          <w:tcPr>
            <w:tcW w:w="608"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-0.25</w:t>
            </w:r>
          </w:p>
        </w:tc>
        <w:tc>
          <w:tcPr>
            <w:tcW w:w="606" w:type="dxa"/>
            <w:tcBorders>
              <w:bottom w:val="single" w:sz="12" w:space="0" w:color="000000"/>
            </w:tcBorders>
            <w:vAlign w:val="bottom"/>
          </w:tcPr>
          <w:p>
            <w:pPr>
              <w:pStyle w:val="Normal"/>
              <w:jc w:val="end"/>
              <w:rPr>
                <w:rFonts w:ascii="Tahoma" w:hAnsi="Tahoma" w:eastAsia="Arial Unicode MS" w:cs="Tahoma"/>
              </w:rPr>
            </w:pPr>
            <w:r>
              <w:rPr>
                <w:rFonts w:cs="Tahoma" w:ascii="Tahoma" w:hAnsi="Tahoma"/>
              </w:rPr>
              <w:t>-0.19</w:t>
            </w:r>
          </w:p>
        </w:tc>
      </w:tr>
    </w:tbl>
    <w:p>
      <w:pPr>
        <w:pStyle w:val="Normal"/>
        <w:rPr/>
      </w:pPr>
      <w:r>
        <w:rPr/>
      </w:r>
    </w:p>
    <w:p>
      <w:pPr>
        <w:pStyle w:val="Normal"/>
        <w:rPr/>
      </w:pPr>
      <w:r>
        <w:rPr/>
      </w:r>
    </w:p>
    <w:p>
      <w:pPr>
        <w:pStyle w:val="Normal"/>
        <w:rPr/>
      </w:pPr>
      <w:r>
        <w:rPr/>
        <w:t>The above table shows the final bins used to define the dummy variables in the model. For example the EDF was split into 4 ranges: (-</w:t>
      </w:r>
      <w:r>
        <w:rPr>
          <w:rFonts w:eastAsia="Symbol" w:cs="Symbol" w:ascii="Symbol" w:hAnsi="Symbol"/>
        </w:rPr>
        <w:sym w:font="Symbol" w:char="f0a5"/>
      </w:r>
      <w:r>
        <w:rPr/>
        <w:t>,0.04], (0.04,0.56], (0.56,2.12], (2.12,+</w:t>
      </w:r>
      <w:r>
        <w:rPr>
          <w:rFonts w:eastAsia="Symbol" w:cs="Symbol" w:ascii="Symbol" w:hAnsi="Symbol"/>
        </w:rPr>
        <w:sym w:font="Symbol" w:char="f0a5"/>
      </w:r>
      <w:r>
        <w:rPr/>
        <w:t>)</w:t>
      </w:r>
      <w:r>
        <w:rPr>
          <w:rStyle w:val="FootnoteCharacters"/>
          <w:rStyle w:val="FootnoteReference"/>
        </w:rPr>
        <w:footnoteReference w:id="4"/>
      </w:r>
      <w:r>
        <w:rPr/>
        <w:t>. The absolute size of the first coefficient, 0.70, shows that this characteristic is the most significant (alongside market capitalisation) in predicting the CDS price. Also the parameters are increasing positively, which satisfies intuition since lower EDF should imply lower price.</w:t>
      </w:r>
    </w:p>
    <w:p>
      <w:pPr>
        <w:pStyle w:val="Normal"/>
        <w:rPr/>
      </w:pPr>
      <w:r>
        <w:rPr/>
      </w:r>
    </w:p>
    <w:p>
      <w:pPr>
        <w:pStyle w:val="Normal"/>
        <w:rPr/>
      </w:pPr>
      <w:r>
        <w:rPr/>
      </w:r>
    </w:p>
    <w:p>
      <w:pPr>
        <w:pStyle w:val="Heading2"/>
        <w:ind w:hanging="0" w:start="0"/>
        <w:rPr/>
      </w:pPr>
      <w:bookmarkStart w:id="15" w:name="__RefHeading___Toc499707754"/>
      <w:bookmarkEnd w:id="15"/>
      <w:r>
        <w:rPr/>
        <w:t>Confidence Interval</w:t>
      </w:r>
    </w:p>
    <w:p>
      <w:pPr>
        <w:pStyle w:val="Normal"/>
        <w:rPr/>
      </w:pPr>
      <w:r>
        <w:rPr/>
      </w:r>
    </w:p>
    <w:p>
      <w:pPr>
        <w:pStyle w:val="Normal"/>
        <w:rPr/>
      </w:pPr>
      <w:r>
        <w:rPr/>
        <w:t xml:space="preserve">Given a new name and its dummified data vector </w:t>
      </w:r>
      <w:r>
        <w:rPr>
          <w:i/>
          <w:iCs/>
        </w:rPr>
        <w:t>x</w:t>
      </w:r>
      <w:r>
        <w:rPr>
          <w:vertAlign w:val="subscript"/>
        </w:rPr>
        <w:t>0</w:t>
      </w:r>
      <w:r>
        <w:rPr/>
        <w:t xml:space="preserve">, we can define a confidence interval for the expected CDS value </w:t>
      </w:r>
      <w:r>
        <w:rPr>
          <w:i/>
          <w:iCs/>
        </w:rPr>
        <w:t>y</w:t>
      </w:r>
      <w:r>
        <w:rPr/>
        <w:t xml:space="preserve"> as</w:t>
      </w:r>
      <w:r>
        <w:rPr>
          <w:rStyle w:val="FootnoteCharacters"/>
          <w:rStyle w:val="FootnoteReference"/>
        </w:rPr>
        <w:footnoteReference w:id="5"/>
      </w:r>
      <w:r>
        <w:rPr/>
        <w:t>:</w:t>
      </w:r>
    </w:p>
    <w:p>
      <w:pPr>
        <w:pStyle w:val="Normal"/>
        <w:rPr/>
      </w:pPr>
      <w:r>
        <w:rPr/>
      </w:r>
    </w:p>
    <w:p>
      <w:pPr>
        <w:pStyle w:val="Normal"/>
        <w:rPr/>
      </w:pPr>
      <w:r>
        <w:rPr/>
        <w:tab/>
      </w:r>
      <w:r>
        <w:rPr/>
      </w:r>
      <m:oMath xmlns:m="http://schemas.openxmlformats.org/officeDocument/2006/math">
        <m:r>
          <m:rPr>
            <m:lit/>
            <m:nor/>
          </m:rPr>
          <m:t xml:space="preserve">exp</m:t>
        </m:r>
        <m:d>
          <m:dPr>
            <m:begChr m:val="("/>
            <m:endChr m:val=")"/>
          </m:dPr>
          <m:e>
            <m:d>
              <m:dPr>
                <m:begChr m:val="("/>
                <m:endChr m:val=")"/>
              </m:dPr>
              <m:e>
                <m:sSub>
                  <m:e>
                    <m:r>
                      <m:t xml:space="preserve">β</m:t>
                    </m:r>
                  </m:e>
                  <m:sub>
                    <m:r>
                      <m:t xml:space="preserve">0</m:t>
                    </m:r>
                  </m:sub>
                </m:sSub>
                <m:r>
                  <m:t xml:space="preserve">+</m:t>
                </m:r>
                <m:nary>
                  <m:naryPr>
                    <m:chr m:val="∑"/>
                    <m:subHide m:val="1"/>
                    <m:supHide m:val="1"/>
                  </m:naryPr>
                  <m:sub/>
                  <m:sup/>
                  <m:e>
                    <m:sSub>
                      <m:e>
                        <m:r>
                          <m:t xml:space="preserve">β</m:t>
                        </m:r>
                      </m:e>
                      <m:sub>
                        <m:r>
                          <m:t xml:space="preserve">i</m:t>
                        </m:r>
                      </m:sub>
                    </m:sSub>
                    <m:sSub>
                      <m:e>
                        <m:r>
                          <m:t xml:space="preserve">X</m:t>
                        </m:r>
                      </m:e>
                      <m:sub>
                        <m:r>
                          <m:t xml:space="preserve">i</m:t>
                        </m:r>
                      </m:sub>
                    </m:sSub>
                  </m:e>
                </m:nary>
              </m:e>
            </m:d>
            <m:r>
              <m:t xml:space="preserve">±</m:t>
            </m:r>
            <m:sSub>
              <m:e>
                <m:r>
                  <m:t xml:space="preserve">t</m:t>
                </m:r>
              </m:e>
              <m:sub>
                <m:r>
                  <m:t xml:space="preserve">n</m:t>
                </m:r>
                <m:r>
                  <m:t xml:space="preserve">−</m:t>
                </m:r>
                <m:r>
                  <m:t xml:space="preserve">r</m:t>
                </m:r>
                <m:r>
                  <m:t xml:space="preserve">−</m:t>
                </m:r>
                <m:r>
                  <m:t xml:space="preserve">1</m:t>
                </m:r>
              </m:sub>
            </m:sSub>
            <m:d>
              <m:dPr>
                <m:begChr m:val="("/>
                <m:endChr m:val=")"/>
              </m:dPr>
              <m:e>
                <m:f>
                  <m:num>
                    <m:r>
                      <m:t xml:space="preserve">α</m:t>
                    </m:r>
                  </m:num>
                  <m:den>
                    <m:r>
                      <m:t xml:space="preserve">2</m:t>
                    </m:r>
                  </m:den>
                </m:f>
              </m:e>
            </m:d>
            <m:rad>
              <m:radPr>
                <m:degHide m:val="1"/>
              </m:radPr>
              <m:deg/>
              <m:e>
                <m:sSup>
                  <m:e>
                    <m:r>
                      <m:t xml:space="preserve">s</m:t>
                    </m:r>
                  </m:e>
                  <m:sup>
                    <m:r>
                      <m:t xml:space="preserve">2</m:t>
                    </m:r>
                  </m:sup>
                </m:sSup>
                <m:d>
                  <m:dPr>
                    <m:begChr m:val="("/>
                    <m:endChr m:val=")"/>
                  </m:dPr>
                  <m:e>
                    <m:sSubSup>
                      <m:e>
                        <m:r>
                          <m:t xml:space="preserve">x</m:t>
                        </m:r>
                      </m:e>
                      <m:sub>
                        <m:r>
                          <m:t xml:space="preserve">0</m:t>
                        </m:r>
                      </m:sub>
                      <m:sup>
                        <m:r>
                          <m:t xml:space="preserve">T</m:t>
                        </m:r>
                      </m:sup>
                    </m:sSubSup>
                    <m:sSup>
                      <m:e>
                        <m:d>
                          <m:dPr>
                            <m:begChr m:val="("/>
                            <m:endChr m:val=")"/>
                          </m:dPr>
                          <m:e>
                            <m:sSup>
                              <m:e>
                                <m:r>
                                  <m:t xml:space="preserve">X</m:t>
                                </m:r>
                              </m:e>
                              <m:sup>
                                <m:r>
                                  <m:t xml:space="preserve">T</m:t>
                                </m:r>
                              </m:sup>
                            </m:sSup>
                            <m:r>
                              <m:t xml:space="preserve">X</m:t>
                            </m:r>
                          </m:e>
                        </m:d>
                      </m:e>
                      <m:sup>
                        <m:r>
                          <m:t xml:space="preserve">−</m:t>
                        </m:r>
                        <m:r>
                          <m:t xml:space="preserve">1</m:t>
                        </m:r>
                      </m:sup>
                    </m:sSup>
                    <m:sSub>
                      <m:e>
                        <m:r>
                          <m:t xml:space="preserve">x</m:t>
                        </m:r>
                      </m:e>
                      <m:sub>
                        <m:r>
                          <m:t xml:space="preserve">0</m:t>
                        </m:r>
                      </m:sub>
                    </m:sSub>
                  </m:e>
                </m:d>
              </m:e>
            </m:rad>
          </m:e>
        </m:d>
      </m:oMath>
    </w:p>
    <w:p>
      <w:pPr>
        <w:pStyle w:val="Normal"/>
        <w:rPr/>
      </w:pPr>
      <w:r>
        <w:rPr/>
      </w:r>
    </w:p>
    <w:p>
      <w:pPr>
        <w:pStyle w:val="Normal"/>
        <w:rPr/>
      </w:pPr>
      <w:r>
        <w:rPr/>
        <w:t>where:</w:t>
        <w:tab/>
      </w:r>
      <w:r>
        <w:rPr>
          <w:rFonts w:eastAsia="Symbol" w:cs="Symbol" w:ascii="Symbol" w:hAnsi="Symbol"/>
        </w:rPr>
        <w:sym w:font="Symbol" w:char="f061"/>
      </w:r>
      <w:r>
        <w:rPr/>
        <w:t xml:space="preserve"> is the required confidence level (typically 5%)</w:t>
      </w:r>
    </w:p>
    <w:p>
      <w:pPr>
        <w:pStyle w:val="Normal"/>
        <w:rPr/>
      </w:pPr>
      <w:r>
        <w:rPr/>
        <w:tab/>
      </w:r>
      <w:r>
        <w:rPr>
          <w:i/>
          <w:iCs/>
        </w:rPr>
        <w:t>X</w:t>
      </w:r>
      <w:r>
        <w:rPr>
          <w:vertAlign w:val="superscript"/>
        </w:rPr>
        <w:t xml:space="preserve"> </w:t>
      </w:r>
      <w:r>
        <w:rPr/>
        <w:t>is the design matrix used in calibrating the model</w:t>
      </w:r>
    </w:p>
    <w:p>
      <w:pPr>
        <w:pStyle w:val="Normal"/>
        <w:rPr/>
      </w:pPr>
      <w:r>
        <w:rPr/>
        <w:tab/>
      </w:r>
      <w:r>
        <w:rPr>
          <w:i/>
          <w:iCs/>
        </w:rPr>
        <w:t>s</w:t>
      </w:r>
      <w:r>
        <w:rPr/>
        <w:t xml:space="preserve"> is the sample standard deviation</w:t>
      </w:r>
    </w:p>
    <w:p>
      <w:pPr>
        <w:pStyle w:val="Normal"/>
        <w:rPr/>
      </w:pPr>
      <w:r>
        <w:rPr/>
        <w:tab/>
      </w:r>
      <w:r>
        <w:rPr>
          <w:i/>
          <w:iCs/>
        </w:rPr>
        <w:t>n-r-</w:t>
      </w:r>
      <w:r>
        <w:rPr/>
        <w:t>1 is the degrees of freedom in the model (518 in this formulation)</w:t>
      </w:r>
    </w:p>
    <w:p>
      <w:pPr>
        <w:pStyle w:val="Normal"/>
        <w:rPr/>
      </w:pPr>
      <w:r>
        <w:rPr/>
        <w:tab/>
      </w:r>
      <w:r>
        <w:rPr/>
      </w:r>
      <m:oMath xmlns:m="http://schemas.openxmlformats.org/officeDocument/2006/math">
        <m:sSub>
          <m:e>
            <m:r>
              <m:t xml:space="preserve">t</m:t>
            </m:r>
          </m:e>
          <m:sub>
            <m:r>
              <m:t xml:space="preserve">n</m:t>
            </m:r>
            <m:r>
              <m:t xml:space="preserve">−</m:t>
            </m:r>
            <m:r>
              <m:t xml:space="preserve">r</m:t>
            </m:r>
            <m:r>
              <m:t xml:space="preserve">−</m:t>
            </m:r>
            <m:r>
              <m:t xml:space="preserve">1</m:t>
            </m:r>
          </m:sub>
        </m:sSub>
        <m:d>
          <m:dPr>
            <m:begChr m:val="("/>
            <m:endChr m:val=")"/>
          </m:dPr>
          <m:e>
            <m:r>
              <m:t xml:space="preserve">θ</m:t>
            </m:r>
          </m:e>
        </m:d>
      </m:oMath>
      <w:r>
        <w:rPr/>
        <w:t xml:space="preserve"> is the point on the standard t-distribution with probability </w:t>
      </w:r>
      <w:r>
        <w:rPr>
          <w:rFonts w:eastAsia="Symbol" w:cs="Symbol" w:ascii="Symbol" w:hAnsi="Symbol"/>
          <w:i/>
          <w:iCs/>
        </w:rPr>
        <w:sym w:font="Symbol" w:char="f071"/>
      </w:r>
    </w:p>
    <w:p>
      <w:pPr>
        <w:pStyle w:val="Normal"/>
        <w:rPr/>
      </w:pPr>
      <w:r>
        <w:rPr/>
      </w:r>
    </w:p>
    <w:p>
      <w:pPr>
        <w:pStyle w:val="Normal"/>
        <w:rPr/>
      </w:pPr>
      <w:r>
        <w:rPr/>
        <w:t xml:space="preserve">This interval tells us that for a given set of financial variables the expected value should fall within this range. For example if we take 100 names with the same financials, the average CDS price will fall within this interval with probability 95%. </w:t>
      </w:r>
    </w:p>
    <w:p>
      <w:pPr>
        <w:pStyle w:val="Normal"/>
        <w:rPr/>
      </w:pPr>
      <w:r>
        <w:rPr/>
      </w:r>
    </w:p>
    <w:p>
      <w:pPr>
        <w:pStyle w:val="Normal"/>
        <w:rPr/>
      </w:pPr>
      <w:r>
        <w:rPr/>
      </w:r>
    </w:p>
    <w:p>
      <w:pPr>
        <w:pStyle w:val="Heading2"/>
        <w:ind w:hanging="0" w:start="0"/>
        <w:rPr/>
      </w:pPr>
      <w:bookmarkStart w:id="16" w:name="__RefHeading___Toc499707755"/>
      <w:bookmarkEnd w:id="16"/>
      <w:r>
        <w:rPr/>
        <w:t>Confidence Score</w:t>
      </w:r>
    </w:p>
    <w:p>
      <w:pPr>
        <w:pStyle w:val="Normal"/>
        <w:rPr/>
      </w:pPr>
      <w:r>
        <w:rPr/>
      </w:r>
    </w:p>
    <w:p>
      <w:pPr>
        <w:pStyle w:val="Normal"/>
        <w:rPr/>
      </w:pPr>
      <w:r>
        <w:rPr/>
        <w:t>This score allows the user to assess the confidence we have in the model result. For example if the EDF is greater than 10, we don’t have much confidence in the model as it was calibrated on names with fairly low EDFs. The confidence score is simply a set of rules each of which, when flagged add a predetermined number onto the score. The final result is then divided by the maximum possible and subtracted from 1 to turn into a percentage figure where high is good and low is bad.</w:t>
      </w:r>
    </w:p>
    <w:p>
      <w:pPr>
        <w:pStyle w:val="Normal"/>
        <w:rPr/>
      </w:pPr>
      <w:r>
        <w:rPr/>
      </w:r>
    </w:p>
    <w:p>
      <w:pPr>
        <w:pStyle w:val="Normal"/>
        <w:rPr/>
      </w:pPr>
      <w:r>
        <w:rPr/>
        <w:t>This score allows the user to address one of the biggest issues with this modelling process, the mismatch between the calibration dataset and the names being priced by the model. The prices received from the trading desk were typically for large, investment-grade companies, whereas the 10,000 names to be priced will be much smaller and in a worse financial condition. Because of the stepwise nature of the model extreme input values will have a dampened impact on the price, and thus outliers will likely be incorrectly priced. As an example, the lowest bin for market cap is [0,$523m], and so a $10m company will be priced the same as a $500m company. The confidence score will enable the user to control such risk, by rejecting model results for names with extreme or missing input values.</w:t>
      </w:r>
    </w:p>
    <w:p>
      <w:pPr>
        <w:pStyle w:val="Normal"/>
        <w:rPr/>
      </w:pPr>
      <w:r>
        <w:rPr/>
      </w:r>
    </w:p>
    <w:p>
      <w:pPr>
        <w:pStyle w:val="Heading2"/>
        <w:ind w:hanging="0" w:start="0"/>
        <w:rPr/>
      </w:pPr>
      <w:bookmarkStart w:id="17" w:name="__RefHeading___Toc499707756"/>
      <w:bookmarkEnd w:id="17"/>
      <w:r>
        <w:rPr/>
        <w:t>Future Model Evolution</w:t>
      </w:r>
    </w:p>
    <w:p>
      <w:pPr>
        <w:pStyle w:val="Normal"/>
        <w:rPr/>
      </w:pPr>
      <w:r>
        <w:rPr/>
      </w:r>
    </w:p>
    <w:p>
      <w:pPr>
        <w:pStyle w:val="Normal"/>
        <w:rPr/>
      </w:pPr>
      <w:r>
        <w:rPr/>
        <w:t>Different subsets of names appear to trade differently, and thus should have different models apply to them. Subsidiaries were discussed above. Pricing differences also occur across different industries and countries, and will require models to be built for each. Another example is the difference between investment and sub-investment grade names which trade at a premium. This important difference is currently not captured by the model.</w:t>
      </w:r>
    </w:p>
    <w:p>
      <w:pPr>
        <w:pStyle w:val="Normal"/>
        <w:rPr/>
      </w:pPr>
      <w:r>
        <w:rPr/>
      </w:r>
    </w:p>
    <w:p>
      <w:pPr>
        <w:pStyle w:val="Normal"/>
        <w:rPr/>
      </w:pPr>
      <w:r>
        <w:rPr/>
        <w:t>The calibration dataset needs to be revisited in order to produce variable distributions that match the full 10,000 names more closely.</w:t>
      </w:r>
    </w:p>
    <w:p>
      <w:pPr>
        <w:pStyle w:val="Normal"/>
        <w:rPr/>
      </w:pPr>
      <w:r>
        <w:rPr/>
      </w:r>
    </w:p>
    <w:p>
      <w:pPr>
        <w:pStyle w:val="Normal"/>
        <w:rPr/>
      </w:pPr>
      <w:r>
        <w:rPr/>
        <w:t>Weighted least squares estimation could also be used to provide more accuracy within the model, as WLS will capture the difference between market and pseudo-market prices used in calibration.</w:t>
      </w:r>
    </w:p>
    <w:p>
      <w:pPr>
        <w:pStyle w:val="Normal"/>
        <w:rPr/>
      </w:pPr>
      <w:r>
        <w:rPr/>
      </w:r>
    </w:p>
    <w:p>
      <w:pPr>
        <w:pStyle w:val="Normal"/>
        <w:rPr/>
      </w:pPr>
      <w:r>
        <w:rPr/>
      </w:r>
      <w:r>
        <w:br w:type="page"/>
      </w:r>
    </w:p>
    <w:p>
      <w:pPr>
        <w:pStyle w:val="Heading1"/>
        <w:ind w:hanging="0" w:start="0"/>
        <w:rPr/>
      </w:pPr>
      <w:bookmarkStart w:id="18" w:name="__RefHeading___Toc499707757"/>
      <w:bookmarkEnd w:id="18"/>
      <w:r>
        <w:rPr/>
        <w:t>Example Model Output</w:t>
      </w:r>
    </w:p>
    <w:p>
      <w:pPr>
        <w:pStyle w:val="Normal"/>
        <w:rPr/>
      </w:pPr>
      <w:r>
        <w:rPr/>
      </w:r>
    </w:p>
    <w:p>
      <w:pPr>
        <w:pStyle w:val="Normal"/>
        <w:rPr/>
      </w:pPr>
      <w:r>
        <w:rPr/>
      </w:r>
    </w:p>
    <w:tbl>
      <w:tblPr>
        <w:tblW w:w="7052" w:type="dxa"/>
        <w:jc w:val="start"/>
        <w:tblInd w:w="540" w:type="dxa"/>
        <w:tblLayout w:type="fixed"/>
        <w:tblCellMar>
          <w:top w:w="0" w:type="dxa"/>
          <w:start w:w="0" w:type="dxa"/>
          <w:bottom w:w="0" w:type="dxa"/>
          <w:end w:w="0" w:type="dxa"/>
        </w:tblCellMar>
      </w:tblPr>
      <w:tblGrid>
        <w:gridCol w:w="2908"/>
        <w:gridCol w:w="4144"/>
      </w:tblGrid>
      <w:tr>
        <w:trPr>
          <w:trHeight w:val="390" w:hRule="atLeast"/>
        </w:trPr>
        <w:tc>
          <w:tcPr>
            <w:tcW w:w="7052" w:type="dxa"/>
            <w:gridSpan w:val="2"/>
            <w:tcBorders>
              <w:top w:val="single" w:sz="8" w:space="0" w:color="000000"/>
              <w:start w:val="single" w:sz="8" w:space="0" w:color="000000"/>
              <w:bottom w:val="single" w:sz="8" w:space="0" w:color="000000"/>
              <w:end w:val="single" w:sz="8" w:space="0" w:color="000000"/>
            </w:tcBorders>
            <w:shd w:fill="FFFF99" w:val="clear"/>
            <w:vAlign w:val="center"/>
          </w:tcPr>
          <w:p>
            <w:pPr>
              <w:pStyle w:val="Normal"/>
              <w:jc w:val="center"/>
              <w:rPr>
                <w:rFonts w:ascii="Tahoma" w:hAnsi="Tahoma" w:eastAsia="Arial Unicode MS" w:cs="Tahoma"/>
                <w:b/>
                <w:bCs/>
                <w:sz w:val="24"/>
                <w:szCs w:val="24"/>
              </w:rPr>
            </w:pPr>
            <w:r>
              <w:rPr>
                <w:rFonts w:cs="Tahoma" w:ascii="Tahoma" w:hAnsi="Tahoma"/>
                <w:b/>
                <w:bCs/>
              </w:rPr>
              <w:t>KEITHLEY INSTRUMENTS INC</w:t>
            </w:r>
          </w:p>
        </w:tc>
      </w:tr>
      <w:tr>
        <w:trPr>
          <w:trHeight w:val="210" w:hRule="atLeast"/>
        </w:trPr>
        <w:tc>
          <w:tcPr>
            <w:tcW w:w="2908" w:type="dxa"/>
            <w:tcBorders/>
            <w:vAlign w:val="center"/>
          </w:tcPr>
          <w:p>
            <w:pPr>
              <w:pStyle w:val="Normal"/>
              <w:snapToGrid w:val="false"/>
              <w:rPr>
                <w:rFonts w:ascii="Tahoma" w:hAnsi="Tahoma" w:eastAsia="Arial Unicode MS" w:cs="Tahoma"/>
                <w:b/>
                <w:bCs/>
                <w:sz w:val="24"/>
                <w:szCs w:val="24"/>
              </w:rPr>
            </w:pPr>
            <w:r>
              <w:rPr>
                <w:rFonts w:eastAsia="Arial Unicode MS" w:cs="Tahoma" w:ascii="Tahoma" w:hAnsi="Tahoma"/>
                <w:b/>
                <w:bCs/>
                <w:sz w:val="24"/>
                <w:szCs w:val="24"/>
              </w:rPr>
            </w:r>
          </w:p>
        </w:tc>
        <w:tc>
          <w:tcPr>
            <w:tcW w:w="4144" w:type="dxa"/>
            <w:tcBorders/>
            <w:vAlign w:val="center"/>
          </w:tcPr>
          <w:p>
            <w:pPr>
              <w:pStyle w:val="Normal"/>
              <w:snapToGrid w:val="false"/>
              <w:jc w:val="center"/>
              <w:rPr>
                <w:rFonts w:ascii="Tahoma" w:hAnsi="Tahoma" w:eastAsia="Arial Unicode MS" w:cs="Tahoma"/>
              </w:rPr>
            </w:pPr>
            <w:r>
              <w:rPr>
                <w:rFonts w:eastAsia="Arial Unicode MS" w:cs="Tahoma" w:ascii="Tahoma" w:hAnsi="Tahoma"/>
              </w:rPr>
            </w:r>
          </w:p>
        </w:tc>
      </w:tr>
      <w:tr>
        <w:trPr>
          <w:trHeight w:val="270" w:hRule="atLeast"/>
        </w:trPr>
        <w:tc>
          <w:tcPr>
            <w:tcW w:w="2908" w:type="dxa"/>
            <w:tcBorders>
              <w:top w:val="single" w:sz="8" w:space="0" w:color="000000"/>
              <w:start w:val="single" w:sz="8" w:space="0" w:color="000000"/>
              <w:bottom w:val="single" w:sz="8" w:space="0" w:color="000000"/>
              <w:end w:val="single" w:sz="4" w:space="0" w:color="000000"/>
            </w:tcBorders>
            <w:shd w:fill="FFCC99" w:val="clear"/>
            <w:vAlign w:val="center"/>
          </w:tcPr>
          <w:p>
            <w:pPr>
              <w:pStyle w:val="Normal"/>
              <w:jc w:val="center"/>
              <w:rPr>
                <w:rFonts w:ascii="Tahoma" w:hAnsi="Tahoma" w:eastAsia="Arial Unicode MS" w:cs="Tahoma"/>
                <w:b/>
                <w:bCs/>
              </w:rPr>
            </w:pPr>
            <w:r>
              <w:rPr>
                <w:rFonts w:cs="Tahoma" w:ascii="Tahoma" w:hAnsi="Tahoma"/>
                <w:b/>
                <w:bCs/>
              </w:rPr>
              <w:t>TICKER</w:t>
            </w:r>
          </w:p>
        </w:tc>
        <w:tc>
          <w:tcPr>
            <w:tcW w:w="4144" w:type="dxa"/>
            <w:tcBorders>
              <w:top w:val="single" w:sz="8" w:space="0" w:color="000000"/>
              <w:bottom w:val="single" w:sz="8" w:space="0" w:color="000000"/>
              <w:end w:val="single" w:sz="8" w:space="0" w:color="000000"/>
            </w:tcBorders>
            <w:shd w:fill="FFFF00" w:val="clear"/>
            <w:vAlign w:val="center"/>
          </w:tcPr>
          <w:p>
            <w:pPr>
              <w:pStyle w:val="Normal"/>
              <w:jc w:val="center"/>
              <w:rPr>
                <w:rFonts w:ascii="Tahoma" w:hAnsi="Tahoma" w:eastAsia="Arial Unicode MS" w:cs="Tahoma"/>
                <w:b/>
                <w:bCs/>
              </w:rPr>
            </w:pPr>
            <w:r>
              <w:rPr>
                <w:rFonts w:cs="Tahoma" w:ascii="Tahoma" w:hAnsi="Tahoma"/>
                <w:b/>
                <w:bCs/>
              </w:rPr>
              <w:t>KEI US Equity</w:t>
            </w:r>
          </w:p>
        </w:tc>
      </w:tr>
      <w:tr>
        <w:trPr>
          <w:trHeight w:val="270" w:hRule="atLeast"/>
        </w:trPr>
        <w:tc>
          <w:tcPr>
            <w:tcW w:w="2908" w:type="dxa"/>
            <w:tcBorders/>
            <w:vAlign w:val="center"/>
          </w:tcPr>
          <w:p>
            <w:pPr>
              <w:pStyle w:val="Normal"/>
              <w:snapToGrid w:val="false"/>
              <w:rPr>
                <w:rFonts w:ascii="Tahoma" w:hAnsi="Tahoma" w:eastAsia="Arial Unicode MS" w:cs="Tahoma"/>
                <w:b/>
                <w:bCs/>
              </w:rPr>
            </w:pPr>
            <w:r>
              <w:rPr>
                <w:rFonts w:eastAsia="Arial Unicode MS" w:cs="Tahoma" w:ascii="Tahoma" w:hAnsi="Tahoma"/>
                <w:b/>
                <w:bCs/>
              </w:rPr>
            </w:r>
          </w:p>
        </w:tc>
        <w:tc>
          <w:tcPr>
            <w:tcW w:w="4144" w:type="dxa"/>
            <w:tcBorders/>
            <w:vAlign w:val="center"/>
          </w:tcPr>
          <w:p>
            <w:pPr>
              <w:pStyle w:val="Normal"/>
              <w:snapToGrid w:val="false"/>
              <w:jc w:val="center"/>
              <w:rPr>
                <w:rFonts w:ascii="Tahoma" w:hAnsi="Tahoma" w:eastAsia="Arial Unicode MS" w:cs="Tahoma"/>
              </w:rPr>
            </w:pPr>
            <w:r>
              <w:rPr>
                <w:rFonts w:eastAsia="Arial Unicode MS" w:cs="Tahoma" w:ascii="Tahoma" w:hAnsi="Tahoma"/>
              </w:rPr>
            </w:r>
          </w:p>
        </w:tc>
      </w:tr>
      <w:tr>
        <w:trPr>
          <w:trHeight w:val="255" w:hRule="atLeast"/>
        </w:trPr>
        <w:tc>
          <w:tcPr>
            <w:tcW w:w="2908" w:type="dxa"/>
            <w:tcBorders>
              <w:top w:val="single" w:sz="8" w:space="0" w:color="000000"/>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EDF</w:t>
            </w:r>
          </w:p>
        </w:tc>
        <w:tc>
          <w:tcPr>
            <w:tcW w:w="4144" w:type="dxa"/>
            <w:tcBorders>
              <w:top w:val="single" w:sz="8" w:space="0" w:color="000000"/>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0.50</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Market Cap. (local curr.)</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853</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Market Cap. ($m)</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$853</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Volatility 90d</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107.38</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EBITDA Interest Coverage</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65.05</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Dividend Payout Ratio</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6.97</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Dividend Yield</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0.13%</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Std dev of Error of Beta</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12.78</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Profit Margin</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13.58</w:t>
            </w:r>
          </w:p>
        </w:tc>
      </w:tr>
      <w:tr>
        <w:trPr>
          <w:trHeight w:val="270"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Est. PEG Ratio Next Yr</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#N/A N.A.</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Industry Sector</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Industrial</w:t>
            </w:r>
          </w:p>
        </w:tc>
      </w:tr>
      <w:tr>
        <w:trPr>
          <w:trHeight w:val="270"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Country</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US</w:t>
            </w:r>
          </w:p>
        </w:tc>
      </w:tr>
      <w:tr>
        <w:trPr>
          <w:trHeight w:val="255" w:hRule="atLeast"/>
        </w:trPr>
        <w:tc>
          <w:tcPr>
            <w:tcW w:w="2908" w:type="dxa"/>
            <w:tcBorders>
              <w:start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Currency</w:t>
            </w:r>
          </w:p>
        </w:tc>
        <w:tc>
          <w:tcPr>
            <w:tcW w:w="4144" w:type="dxa"/>
            <w:tcBorders>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USD</w:t>
            </w:r>
          </w:p>
        </w:tc>
      </w:tr>
      <w:tr>
        <w:trPr>
          <w:trHeight w:val="270" w:hRule="atLeast"/>
        </w:trPr>
        <w:tc>
          <w:tcPr>
            <w:tcW w:w="2908" w:type="dxa"/>
            <w:tcBorders>
              <w:start w:val="single" w:sz="8" w:space="0" w:color="000000"/>
              <w:bottom w:val="single" w:sz="8" w:space="0" w:color="000000"/>
            </w:tcBorders>
            <w:shd w:fill="CCFFCC" w:val="clear"/>
            <w:tcMar>
              <w:start w:w="180" w:type="dxa"/>
            </w:tcMar>
            <w:vAlign w:val="center"/>
          </w:tcPr>
          <w:p>
            <w:pPr>
              <w:pStyle w:val="Normal"/>
              <w:ind w:firstLine="200" w:end="0"/>
              <w:rPr>
                <w:rFonts w:ascii="Tahoma" w:hAnsi="Tahoma" w:eastAsia="Arial Unicode MS" w:cs="Tahoma"/>
              </w:rPr>
            </w:pPr>
            <w:r>
              <w:rPr>
                <w:rFonts w:cs="Tahoma" w:ascii="Tahoma" w:hAnsi="Tahoma"/>
              </w:rPr>
              <w:t>FX Rate ($)</w:t>
            </w:r>
          </w:p>
        </w:tc>
        <w:tc>
          <w:tcPr>
            <w:tcW w:w="4144" w:type="dxa"/>
            <w:tcBorders>
              <w:bottom w:val="single" w:sz="8" w:space="0" w:color="000000"/>
              <w:end w:val="single" w:sz="8" w:space="0" w:color="000000"/>
            </w:tcBorders>
            <w:shd w:fill="CCFFCC" w:val="clear"/>
            <w:vAlign w:val="center"/>
          </w:tcPr>
          <w:p>
            <w:pPr>
              <w:pStyle w:val="Normal"/>
              <w:jc w:val="center"/>
              <w:rPr>
                <w:rFonts w:ascii="Tahoma" w:hAnsi="Tahoma" w:eastAsia="Arial Unicode MS" w:cs="Tahoma"/>
              </w:rPr>
            </w:pPr>
            <w:r>
              <w:rPr>
                <w:rFonts w:cs="Tahoma" w:ascii="Tahoma" w:hAnsi="Tahoma"/>
              </w:rPr>
              <w:t>1.000</w:t>
            </w:r>
          </w:p>
        </w:tc>
      </w:tr>
      <w:tr>
        <w:trPr>
          <w:trHeight w:val="195" w:hRule="atLeast"/>
        </w:trPr>
        <w:tc>
          <w:tcPr>
            <w:tcW w:w="2908" w:type="dxa"/>
            <w:tcBorders/>
            <w:vAlign w:val="center"/>
          </w:tcPr>
          <w:p>
            <w:pPr>
              <w:pStyle w:val="Normal"/>
              <w:snapToGrid w:val="false"/>
              <w:rPr>
                <w:rFonts w:ascii="Tahoma" w:hAnsi="Tahoma" w:eastAsia="Arial Unicode MS" w:cs="Tahoma"/>
              </w:rPr>
            </w:pPr>
            <w:r>
              <w:rPr>
                <w:rFonts w:eastAsia="Arial Unicode MS" w:cs="Tahoma" w:ascii="Tahoma" w:hAnsi="Tahoma"/>
              </w:rPr>
            </w:r>
          </w:p>
        </w:tc>
        <w:tc>
          <w:tcPr>
            <w:tcW w:w="4144" w:type="dxa"/>
            <w:tcBorders/>
            <w:vAlign w:val="center"/>
          </w:tcPr>
          <w:p>
            <w:pPr>
              <w:pStyle w:val="Normal"/>
              <w:snapToGrid w:val="false"/>
              <w:jc w:val="center"/>
              <w:rPr>
                <w:rFonts w:ascii="Tahoma" w:hAnsi="Tahoma" w:eastAsia="Arial Unicode MS" w:cs="Tahoma"/>
              </w:rPr>
            </w:pPr>
            <w:r>
              <w:rPr>
                <w:rFonts w:eastAsia="Arial Unicode MS" w:cs="Tahoma" w:ascii="Tahoma" w:hAnsi="Tahoma"/>
              </w:rPr>
            </w:r>
          </w:p>
        </w:tc>
      </w:tr>
      <w:tr>
        <w:trPr>
          <w:trHeight w:val="510" w:hRule="atLeast"/>
        </w:trPr>
        <w:tc>
          <w:tcPr>
            <w:tcW w:w="2908" w:type="dxa"/>
            <w:tcBorders>
              <w:top w:val="double" w:sz="6" w:space="0" w:color="000000"/>
              <w:start w:val="double" w:sz="6" w:space="0" w:color="000000"/>
              <w:bottom w:val="double" w:sz="6" w:space="0" w:color="000000"/>
            </w:tcBorders>
            <w:shd w:fill="000000" w:val="clear"/>
            <w:vAlign w:val="center"/>
          </w:tcPr>
          <w:p>
            <w:pPr>
              <w:pStyle w:val="Normal"/>
              <w:jc w:val="center"/>
              <w:rPr>
                <w:rFonts w:ascii="Tahoma" w:hAnsi="Tahoma" w:eastAsia="Arial Unicode MS" w:cs="Tahoma"/>
                <w:b/>
                <w:bCs/>
                <w:color w:val="FFFF00"/>
                <w:sz w:val="32"/>
                <w:szCs w:val="32"/>
              </w:rPr>
            </w:pPr>
            <w:r>
              <w:rPr>
                <w:rFonts w:cs="Tahoma" w:ascii="Tahoma" w:hAnsi="Tahoma"/>
                <w:b/>
                <w:bCs/>
                <w:color w:val="FFFF00"/>
                <w:sz w:val="32"/>
                <w:szCs w:val="32"/>
              </w:rPr>
              <w:t>CDS PRICE</w:t>
            </w:r>
          </w:p>
        </w:tc>
        <w:tc>
          <w:tcPr>
            <w:tcW w:w="4144" w:type="dxa"/>
            <w:tcBorders>
              <w:top w:val="double" w:sz="6" w:space="0" w:color="000000"/>
              <w:bottom w:val="double" w:sz="6" w:space="0" w:color="000000"/>
              <w:end w:val="double" w:sz="6" w:space="0" w:color="000000"/>
            </w:tcBorders>
            <w:shd w:fill="000000" w:val="clear"/>
            <w:vAlign w:val="center"/>
          </w:tcPr>
          <w:p>
            <w:pPr>
              <w:pStyle w:val="Normal"/>
              <w:jc w:val="center"/>
              <w:rPr>
                <w:rFonts w:ascii="Tahoma" w:hAnsi="Tahoma" w:eastAsia="Arial Unicode MS" w:cs="Tahoma"/>
                <w:b/>
                <w:bCs/>
                <w:color w:val="FFFF00"/>
                <w:sz w:val="32"/>
                <w:szCs w:val="32"/>
              </w:rPr>
            </w:pPr>
            <w:r>
              <w:rPr>
                <w:rFonts w:cs="Tahoma" w:ascii="Tahoma" w:hAnsi="Tahoma"/>
                <w:b/>
                <w:bCs/>
                <w:color w:val="FFFF00"/>
                <w:sz w:val="32"/>
                <w:szCs w:val="32"/>
              </w:rPr>
              <w:t>193</w:t>
            </w:r>
          </w:p>
        </w:tc>
      </w:tr>
      <w:tr>
        <w:trPr>
          <w:trHeight w:val="195" w:hRule="atLeast"/>
        </w:trPr>
        <w:tc>
          <w:tcPr>
            <w:tcW w:w="2908" w:type="dxa"/>
            <w:tcBorders/>
            <w:vAlign w:val="center"/>
          </w:tcPr>
          <w:p>
            <w:pPr>
              <w:pStyle w:val="Normal"/>
              <w:snapToGrid w:val="false"/>
              <w:rPr>
                <w:rFonts w:ascii="Tahoma" w:hAnsi="Tahoma" w:eastAsia="Arial Unicode MS" w:cs="Tahoma"/>
                <w:b/>
                <w:bCs/>
                <w:color w:val="FFFF00"/>
                <w:sz w:val="32"/>
                <w:szCs w:val="32"/>
              </w:rPr>
            </w:pPr>
            <w:r>
              <w:rPr>
                <w:rFonts w:eastAsia="Arial Unicode MS" w:cs="Tahoma" w:ascii="Tahoma" w:hAnsi="Tahoma"/>
                <w:b/>
                <w:bCs/>
                <w:color w:val="FFFF00"/>
                <w:sz w:val="32"/>
                <w:szCs w:val="32"/>
              </w:rPr>
            </w:r>
          </w:p>
        </w:tc>
        <w:tc>
          <w:tcPr>
            <w:tcW w:w="4144" w:type="dxa"/>
            <w:tcBorders/>
            <w:vAlign w:val="center"/>
          </w:tcPr>
          <w:p>
            <w:pPr>
              <w:pStyle w:val="Normal"/>
              <w:snapToGrid w:val="false"/>
              <w:jc w:val="center"/>
              <w:rPr>
                <w:rFonts w:ascii="Tahoma" w:hAnsi="Tahoma" w:eastAsia="Arial Unicode MS" w:cs="Tahoma"/>
              </w:rPr>
            </w:pPr>
            <w:r>
              <w:rPr>
                <w:rFonts w:eastAsia="Arial Unicode MS" w:cs="Tahoma" w:ascii="Tahoma" w:hAnsi="Tahoma"/>
              </w:rPr>
            </w:r>
          </w:p>
        </w:tc>
      </w:tr>
      <w:tr>
        <w:trPr>
          <w:trHeight w:val="255" w:hRule="atLeast"/>
        </w:trPr>
        <w:tc>
          <w:tcPr>
            <w:tcW w:w="2908" w:type="dxa"/>
            <w:tcBorders>
              <w:top w:val="single" w:sz="8" w:space="0" w:color="000000"/>
              <w:start w:val="single" w:sz="8" w:space="0" w:color="000000"/>
              <w:bottom w:val="single" w:sz="4" w:space="0" w:color="000000"/>
              <w:end w:val="single" w:sz="4" w:space="0" w:color="000000"/>
            </w:tcBorders>
            <w:shd w:fill="CCFFFF" w:val="clear"/>
            <w:vAlign w:val="center"/>
          </w:tcPr>
          <w:p>
            <w:pPr>
              <w:pStyle w:val="Normal"/>
              <w:jc w:val="center"/>
              <w:rPr>
                <w:rFonts w:ascii="Tahoma" w:hAnsi="Tahoma" w:eastAsia="Arial Unicode MS" w:cs="Tahoma"/>
                <w:b/>
                <w:bCs/>
              </w:rPr>
            </w:pPr>
            <w:r>
              <w:rPr>
                <w:rFonts w:cs="Tahoma" w:ascii="Tahoma" w:hAnsi="Tahoma"/>
                <w:b/>
                <w:bCs/>
              </w:rPr>
              <w:t>Confidence interval:</w:t>
            </w:r>
          </w:p>
        </w:tc>
        <w:tc>
          <w:tcPr>
            <w:tcW w:w="4144" w:type="dxa"/>
            <w:tcBorders>
              <w:top w:val="single" w:sz="8" w:space="0" w:color="000000"/>
              <w:bottom w:val="single" w:sz="4" w:space="0" w:color="000000"/>
              <w:end w:val="single" w:sz="8" w:space="0" w:color="000000"/>
            </w:tcBorders>
            <w:shd w:fill="CCFFFF" w:val="clear"/>
            <w:vAlign w:val="center"/>
          </w:tcPr>
          <w:p>
            <w:pPr>
              <w:pStyle w:val="Normal"/>
              <w:jc w:val="center"/>
              <w:rPr>
                <w:rFonts w:ascii="Tahoma" w:hAnsi="Tahoma" w:eastAsia="Arial Unicode MS" w:cs="Tahoma"/>
                <w:b/>
                <w:bCs/>
              </w:rPr>
            </w:pPr>
            <w:r>
              <w:rPr>
                <w:rFonts w:cs="Tahoma" w:ascii="Tahoma" w:hAnsi="Tahoma"/>
                <w:b/>
                <w:bCs/>
              </w:rPr>
              <w:t>175</w:t>
            </w:r>
          </w:p>
        </w:tc>
      </w:tr>
      <w:tr>
        <w:trPr>
          <w:trHeight w:val="270" w:hRule="atLeast"/>
        </w:trPr>
        <w:tc>
          <w:tcPr>
            <w:tcW w:w="2908" w:type="dxa"/>
            <w:tcBorders>
              <w:start w:val="single" w:sz="8" w:space="0" w:color="000000"/>
              <w:bottom w:val="single" w:sz="8" w:space="0" w:color="000000"/>
              <w:end w:val="single" w:sz="4" w:space="0" w:color="000000"/>
            </w:tcBorders>
            <w:shd w:fill="FFFF00" w:val="clear"/>
            <w:vAlign w:val="center"/>
          </w:tcPr>
          <w:p>
            <w:pPr>
              <w:pStyle w:val="Normal"/>
              <w:jc w:val="center"/>
              <w:rPr>
                <w:rFonts w:ascii="Tahoma" w:hAnsi="Tahoma" w:eastAsia="Arial Unicode MS" w:cs="Tahoma"/>
                <w:b/>
                <w:bCs/>
              </w:rPr>
            </w:pPr>
            <w:r>
              <w:rPr>
                <w:rFonts w:cs="Tahoma" w:ascii="Tahoma" w:hAnsi="Tahoma"/>
                <w:b/>
                <w:bCs/>
              </w:rPr>
              <w:t>95%</w:t>
            </w:r>
          </w:p>
        </w:tc>
        <w:tc>
          <w:tcPr>
            <w:tcW w:w="4144" w:type="dxa"/>
            <w:tcBorders>
              <w:bottom w:val="single" w:sz="8" w:space="0" w:color="000000"/>
              <w:end w:val="single" w:sz="8" w:space="0" w:color="000000"/>
            </w:tcBorders>
            <w:shd w:fill="CCFFFF" w:val="clear"/>
            <w:vAlign w:val="center"/>
          </w:tcPr>
          <w:p>
            <w:pPr>
              <w:pStyle w:val="Normal"/>
              <w:jc w:val="center"/>
              <w:rPr>
                <w:rFonts w:ascii="Tahoma" w:hAnsi="Tahoma" w:eastAsia="Arial Unicode MS" w:cs="Tahoma"/>
                <w:b/>
                <w:bCs/>
              </w:rPr>
            </w:pPr>
            <w:r>
              <w:rPr>
                <w:rFonts w:cs="Tahoma" w:ascii="Tahoma" w:hAnsi="Tahoma"/>
                <w:b/>
                <w:bCs/>
              </w:rPr>
              <w:t>212</w:t>
            </w:r>
          </w:p>
        </w:tc>
      </w:tr>
      <w:tr>
        <w:trPr>
          <w:trHeight w:val="225" w:hRule="atLeast"/>
        </w:trPr>
        <w:tc>
          <w:tcPr>
            <w:tcW w:w="2908" w:type="dxa"/>
            <w:tcBorders/>
            <w:vAlign w:val="center"/>
          </w:tcPr>
          <w:p>
            <w:pPr>
              <w:pStyle w:val="Normal"/>
              <w:snapToGrid w:val="false"/>
              <w:rPr>
                <w:rFonts w:ascii="Tahoma" w:hAnsi="Tahoma" w:eastAsia="Arial Unicode MS" w:cs="Tahoma"/>
                <w:b/>
                <w:bCs/>
              </w:rPr>
            </w:pPr>
            <w:r>
              <w:rPr>
                <w:rFonts w:eastAsia="Arial Unicode MS" w:cs="Tahoma" w:ascii="Tahoma" w:hAnsi="Tahoma"/>
                <w:b/>
                <w:bCs/>
              </w:rPr>
            </w:r>
          </w:p>
        </w:tc>
        <w:tc>
          <w:tcPr>
            <w:tcW w:w="4144" w:type="dxa"/>
            <w:tcBorders/>
            <w:vAlign w:val="center"/>
          </w:tcPr>
          <w:p>
            <w:pPr>
              <w:pStyle w:val="Normal"/>
              <w:snapToGrid w:val="false"/>
              <w:jc w:val="center"/>
              <w:rPr>
                <w:rFonts w:ascii="Tahoma" w:hAnsi="Tahoma" w:eastAsia="Arial Unicode MS" w:cs="Tahoma"/>
              </w:rPr>
            </w:pPr>
            <w:r>
              <w:rPr>
                <w:rFonts w:eastAsia="Arial Unicode MS" w:cs="Tahoma" w:ascii="Tahoma" w:hAnsi="Tahoma"/>
              </w:rPr>
            </w:r>
          </w:p>
        </w:tc>
      </w:tr>
      <w:tr>
        <w:trPr>
          <w:trHeight w:val="270" w:hRule="atLeast"/>
        </w:trPr>
        <w:tc>
          <w:tcPr>
            <w:tcW w:w="2908" w:type="dxa"/>
            <w:tcBorders>
              <w:top w:val="single" w:sz="8" w:space="0" w:color="000000"/>
              <w:start w:val="single" w:sz="8" w:space="0" w:color="000000"/>
              <w:bottom w:val="single" w:sz="8" w:space="0" w:color="000000"/>
            </w:tcBorders>
            <w:shd w:fill="CCFFFF" w:val="clear"/>
            <w:vAlign w:val="center"/>
          </w:tcPr>
          <w:p>
            <w:pPr>
              <w:pStyle w:val="Normal"/>
              <w:jc w:val="center"/>
              <w:rPr>
                <w:rFonts w:ascii="Tahoma" w:hAnsi="Tahoma" w:eastAsia="Arial Unicode MS" w:cs="Tahoma"/>
                <w:b/>
                <w:bCs/>
              </w:rPr>
            </w:pPr>
            <w:r>
              <w:rPr>
                <w:rFonts w:cs="Tahoma" w:ascii="Tahoma" w:hAnsi="Tahoma"/>
                <w:b/>
                <w:bCs/>
              </w:rPr>
              <w:t>Confidence score:</w:t>
            </w:r>
          </w:p>
        </w:tc>
        <w:tc>
          <w:tcPr>
            <w:tcW w:w="4144" w:type="dxa"/>
            <w:tcBorders>
              <w:top w:val="single" w:sz="8" w:space="0" w:color="000000"/>
              <w:bottom w:val="single" w:sz="8" w:space="0" w:color="000000"/>
              <w:end w:val="single" w:sz="8" w:space="0" w:color="000000"/>
            </w:tcBorders>
            <w:shd w:fill="CCFFFF" w:val="clear"/>
            <w:vAlign w:val="center"/>
          </w:tcPr>
          <w:p>
            <w:pPr>
              <w:pStyle w:val="Normal"/>
              <w:jc w:val="center"/>
              <w:rPr>
                <w:rFonts w:ascii="Tahoma" w:hAnsi="Tahoma" w:eastAsia="Arial Unicode MS" w:cs="Tahoma"/>
                <w:b/>
                <w:bCs/>
              </w:rPr>
            </w:pPr>
            <w:r>
              <w:rPr>
                <w:rFonts w:cs="Tahoma" w:ascii="Tahoma" w:hAnsi="Tahoma"/>
                <w:b/>
                <w:bCs/>
              </w:rPr>
              <w:t>74%</w:t>
            </w:r>
          </w:p>
        </w:tc>
      </w:tr>
    </w:tbl>
    <w:p>
      <w:pPr>
        <w:pStyle w:val="Normal"/>
        <w:rPr/>
      </w:pPr>
      <w:r>
        <w:rPr/>
      </w:r>
    </w:p>
    <w:p>
      <w:pPr>
        <w:pStyle w:val="Normal"/>
        <w:rPr/>
      </w:pPr>
      <w:r>
        <w:rPr/>
      </w:r>
    </w:p>
    <w:p>
      <w:pPr>
        <w:pStyle w:val="Normal"/>
        <w:rPr/>
      </w:pPr>
      <w:r>
        <w:rPr/>
        <w:t>Examining this example, the dummies which are turned to 1 are the second EDF bin, the dividend payout bin, the est PEG ratio bin</w:t>
      </w:r>
      <w:r>
        <w:rPr>
          <w:rStyle w:val="FootnoteCharacters"/>
          <w:rStyle w:val="FootnoteReference"/>
        </w:rPr>
        <w:footnoteReference w:id="6"/>
      </w:r>
      <w:r>
        <w:rPr/>
        <w:t xml:space="preserve"> and the second market cap bin. The CDS price is then estimated as:</w:t>
      </w:r>
    </w:p>
    <w:p>
      <w:pPr>
        <w:pStyle w:val="Normal"/>
        <w:rPr/>
      </w:pPr>
      <w:r>
        <w:rPr/>
      </w:r>
    </w:p>
    <w:p>
      <w:pPr>
        <w:pStyle w:val="Normal"/>
        <w:rPr/>
      </w:pPr>
      <w:r>
        <w:rPr/>
        <w:tab/>
      </w:r>
      <w:r>
        <w:rPr/>
      </w:r>
      <m:oMath xmlns:m="http://schemas.openxmlformats.org/officeDocument/2006/math">
        <m:r>
          <m:rPr>
            <m:lit/>
            <m:nor/>
          </m:rPr>
          <m:t xml:space="preserve">CDS</m:t>
        </m:r>
        <m:r>
          <m:t xml:space="preserve">=</m:t>
        </m:r>
        <m:r>
          <m:rPr>
            <m:lit/>
            <m:nor/>
          </m:rPr>
          <m:t xml:space="preserve">exp</m:t>
        </m:r>
        <m:r>
          <m:t xml:space="preserve">(</m:t>
        </m:r>
        <m:r>
          <m:t xml:space="preserve">4</m:t>
        </m:r>
        <m:r>
          <m:rPr>
            <m:lit/>
            <m:nor/>
          </m:rPr>
          <m:t xml:space="preserve">.</m:t>
        </m:r>
        <m:r>
          <m:rPr>
            <m:lit/>
            <m:nor/>
          </m:rPr>
          <m:t xml:space="preserve">55</m:t>
        </m:r>
        <m:r>
          <m:t xml:space="preserve">−</m:t>
        </m:r>
        <m:r>
          <m:t xml:space="preserve">0</m:t>
        </m:r>
        <m:r>
          <m:rPr>
            <m:lit/>
            <m:nor/>
          </m:rPr>
          <m:t xml:space="preserve">.</m:t>
        </m:r>
        <m:r>
          <m:rPr>
            <m:lit/>
            <m:nor/>
          </m:rPr>
          <m:t xml:space="preserve">37</m:t>
        </m:r>
        <m:r>
          <m:t xml:space="preserve">+</m:t>
        </m:r>
        <m:r>
          <m:t xml:space="preserve">0</m:t>
        </m:r>
        <m:r>
          <m:rPr>
            <m:lit/>
            <m:nor/>
          </m:rPr>
          <m:t xml:space="preserve">.</m:t>
        </m:r>
        <m:r>
          <m:rPr>
            <m:lit/>
            <m:nor/>
          </m:rPr>
          <m:t xml:space="preserve">20</m:t>
        </m:r>
        <m:r>
          <m:t xml:space="preserve">+</m:t>
        </m:r>
        <m:r>
          <m:t xml:space="preserve">0</m:t>
        </m:r>
        <m:r>
          <m:rPr>
            <m:lit/>
            <m:nor/>
          </m:rPr>
          <m:t xml:space="preserve">.</m:t>
        </m:r>
        <m:r>
          <m:rPr>
            <m:lit/>
            <m:nor/>
          </m:rPr>
          <m:t xml:space="preserve">19</m:t>
        </m:r>
        <m:r>
          <m:t xml:space="preserve">+</m:t>
        </m:r>
        <m:r>
          <m:t xml:space="preserve">0</m:t>
        </m:r>
        <m:r>
          <m:rPr>
            <m:lit/>
            <m:nor/>
          </m:rPr>
          <m:t xml:space="preserve">.</m:t>
        </m:r>
        <m:r>
          <m:rPr>
            <m:lit/>
            <m:nor/>
          </m:rPr>
          <m:t xml:space="preserve">70</m:t>
        </m:r>
        <m:r>
          <m:t xml:space="preserve">)</m:t>
        </m:r>
        <m:r>
          <m:t xml:space="preserve">=</m:t>
        </m:r>
        <m:r>
          <m:rPr>
            <m:lit/>
            <m:nor/>
          </m:rPr>
          <m:t xml:space="preserve">193</m:t>
        </m:r>
      </m:oMath>
    </w:p>
    <w:p>
      <w:pPr>
        <w:pStyle w:val="Normal"/>
        <w:rPr/>
      </w:pPr>
      <w:r>
        <w:rPr/>
      </w:r>
    </w:p>
    <w:p>
      <w:pPr>
        <w:pStyle w:val="Normal"/>
        <w:rPr/>
      </w:pPr>
      <w:r>
        <w:rPr/>
        <w:t xml:space="preserve">4.55 is the constant term </w:t>
      </w:r>
      <w:r>
        <w:rPr>
          <w:rFonts w:eastAsia="Symbol" w:cs="Symbol" w:ascii="Symbol" w:hAnsi="Symbol"/>
        </w:rPr>
        <w:sym w:font="Symbol" w:char="f062"/>
      </w:r>
      <w:r>
        <w:rPr>
          <w:vertAlign w:val="subscript"/>
        </w:rPr>
        <w:t>0</w:t>
      </w:r>
      <w:r>
        <w:rPr/>
        <w:t>.</w:t>
      </w:r>
    </w:p>
    <w:p>
      <w:pPr>
        <w:pStyle w:val="Normal"/>
        <w:rPr/>
      </w:pPr>
      <w:r>
        <w:rPr/>
      </w:r>
    </w:p>
    <w:p>
      <w:pPr>
        <w:pStyle w:val="Normal"/>
        <w:rPr/>
      </w:pPr>
      <w:r>
        <w:rPr/>
        <w:t>The 95% confidence interval is given as (175,212).</w:t>
      </w:r>
    </w:p>
    <w:p>
      <w:pPr>
        <w:pStyle w:val="Normal"/>
        <w:rPr/>
      </w:pPr>
      <w:r>
        <w:rPr/>
      </w:r>
    </w:p>
    <w:p>
      <w:pPr>
        <w:pStyle w:val="Normal"/>
        <w:rPr/>
      </w:pPr>
      <w:r>
        <w:rPr/>
        <w:t>The Confidence score is calculated as 74%. The model confidence has been dragged down by the high std error of beta, high volatility, high EBITDA interest coverage and missing est PEG ratio.</w:t>
      </w:r>
    </w:p>
    <w:p>
      <w:pPr>
        <w:pStyle w:val="Normal"/>
        <w:rPr/>
      </w:pPr>
      <w:r>
        <w:rPr/>
      </w:r>
    </w:p>
    <w:p>
      <w:pPr>
        <w:pStyle w:val="Normal"/>
        <w:rPr/>
      </w:pPr>
      <w:r>
        <w:rPr/>
      </w:r>
      <w:r>
        <w:br w:type="page"/>
      </w:r>
    </w:p>
    <w:p>
      <w:pPr>
        <w:pStyle w:val="Heading1"/>
        <w:ind w:hanging="0" w:start="0"/>
        <w:rPr/>
      </w:pPr>
      <w:bookmarkStart w:id="19" w:name="__RefHeading___Toc499707758"/>
      <w:bookmarkEnd w:id="19"/>
      <w:r>
        <w:rPr/>
        <w:t>References</w:t>
      </w:r>
    </w:p>
    <w:p>
      <w:pPr>
        <w:pStyle w:val="Normal"/>
        <w:rPr/>
      </w:pPr>
      <w:r>
        <w:rPr/>
      </w:r>
    </w:p>
    <w:p>
      <w:pPr>
        <w:pStyle w:val="Normal"/>
        <w:rPr/>
      </w:pPr>
      <w:r>
        <w:rPr/>
        <w:t>Johnson and Wichern, “Applied Multivariate Statistical Analysis”, Prentice-Hall</w:t>
      </w:r>
    </w:p>
    <w:sectPr>
      <w:headerReference w:type="default" r:id="rId9"/>
      <w:headerReference w:type="first" r:id="rId10"/>
      <w:footerReference w:type="default" r:id="rId11"/>
      <w:footerReference w:type="first" r:id="rId12"/>
      <w:footnotePr>
        <w:numFmt w:val="decimal"/>
      </w:footnotePr>
      <w:type w:val="nextPage"/>
      <w:pgSz w:w="11906" w:h="16838"/>
      <w:pgMar w:left="1800" w:right="1800" w:gutter="0" w:header="720" w:top="1440" w:footer="720"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12" w:space="1" w:color="000080"/>
      </w:pBdr>
      <w:tabs>
        <w:tab w:val="clear" w:pos="4153"/>
        <w:tab w:val="clear" w:pos="8306"/>
        <w:tab w:val="center" w:pos="4395" w:leader="none"/>
        <w:tab w:val="right" w:pos="8364" w:leader="none"/>
      </w:tabs>
      <w:rPr>
        <w:rStyle w:val="PageNumber"/>
        <w:rFonts w:ascii="Arial" w:hAnsi="Arial" w:cs="Arial"/>
        <w:b/>
        <w:color w:val="000080"/>
      </w:rPr>
    </w:pPr>
    <w:r>
      <w:rPr>
        <w:rFonts w:cs="Arial" w:ascii="Arial" w:hAnsi="Arial"/>
        <w:b/>
        <w:color w:val="000080"/>
      </w:rPr>
      <w:t>Enron Europe Limited</w:t>
      <w:tab/>
    </w:r>
    <w:r>
      <w:rPr>
        <w:rStyle w:val="PageNumber"/>
        <w:rFonts w:cs="Arial" w:ascii="Arial" w:hAnsi="Arial"/>
        <w:b/>
        <w:color w:val="000080"/>
      </w:rPr>
      <w:fldChar w:fldCharType="begin"/>
    </w:r>
    <w:r>
      <w:rPr>
        <w:rStyle w:val="PageNumber"/>
        <w:b/>
        <w:rFonts w:cs="Arial" w:ascii="Arial" w:hAnsi="Arial"/>
        <w:color w:val="000080"/>
      </w:rPr>
      <w:instrText xml:space="preserve"> PAGE </w:instrText>
    </w:r>
    <w:r>
      <w:rPr>
        <w:rStyle w:val="PageNumber"/>
        <w:b/>
        <w:rFonts w:cs="Arial" w:ascii="Arial" w:hAnsi="Arial"/>
        <w:color w:val="000080"/>
      </w:rPr>
      <w:fldChar w:fldCharType="separate"/>
    </w:r>
    <w:r>
      <w:rPr>
        <w:rStyle w:val="PageNumber"/>
        <w:b/>
        <w:rFonts w:cs="Arial" w:ascii="Arial" w:hAnsi="Arial"/>
        <w:color w:val="000080"/>
      </w:rPr>
      <w:t>2</w:t>
    </w:r>
    <w:r>
      <w:rPr>
        <w:rStyle w:val="PageNumber"/>
        <w:b/>
        <w:rFonts w:cs="Arial" w:ascii="Arial" w:hAnsi="Arial"/>
        <w:color w:val="000080"/>
      </w:rPr>
      <w:fldChar w:fldCharType="end"/>
    </w:r>
    <w:r>
      <w:rPr>
        <w:rFonts w:cs="Arial" w:ascii="Arial" w:hAnsi="Arial"/>
        <w:b/>
        <w:color w:val="000080"/>
      </w:rPr>
      <w:t xml:space="preserve"> </w:t>
      <w:tab/>
      <w:t xml:space="preserve">Page </w:t>
    </w:r>
    <w:r>
      <w:rPr>
        <w:rStyle w:val="PageNumber"/>
        <w:rFonts w:cs="Arial" w:ascii="Arial" w:hAnsi="Arial"/>
        <w:b/>
        <w:color w:val="000080"/>
      </w:rPr>
      <w:fldChar w:fldCharType="begin"/>
    </w:r>
    <w:r>
      <w:rPr>
        <w:rStyle w:val="PageNumber"/>
        <w:b/>
        <w:rFonts w:cs="Arial" w:ascii="Arial" w:hAnsi="Arial"/>
        <w:color w:val="000080"/>
      </w:rPr>
      <w:instrText xml:space="preserve"> PAGE </w:instrText>
    </w:r>
    <w:r>
      <w:rPr>
        <w:rStyle w:val="PageNumber"/>
        <w:b/>
        <w:rFonts w:cs="Arial" w:ascii="Arial" w:hAnsi="Arial"/>
        <w:color w:val="000080"/>
      </w:rPr>
      <w:fldChar w:fldCharType="separate"/>
    </w:r>
    <w:r>
      <w:rPr>
        <w:rStyle w:val="PageNumber"/>
        <w:b/>
        <w:rFonts w:cs="Arial" w:ascii="Arial" w:hAnsi="Arial"/>
        <w:color w:val="000080"/>
      </w:rPr>
      <w:t>2</w:t>
    </w:r>
    <w:r>
      <w:rPr>
        <w:rStyle w:val="PageNumber"/>
        <w:b/>
        <w:rFonts w:cs="Arial" w:ascii="Arial" w:hAnsi="Arial"/>
        <w:color w:val="000080"/>
      </w:rPr>
      <w:fldChar w:fldCharType="end"/>
    </w:r>
    <w:r>
      <w:rPr>
        <w:rStyle w:val="PageNumber"/>
        <w:rFonts w:cs="Arial" w:ascii="Arial" w:hAnsi="Arial"/>
        <w:b/>
        <w:color w:val="000080"/>
      </w:rPr>
      <w:t xml:space="preserve"> of </w:t>
    </w:r>
    <w:r>
      <w:rPr>
        <w:b/>
      </w:rPr>
      <w:fldChar w:fldCharType="begin"/>
    </w:r>
    <w:r>
      <w:rPr>
        <w:b/>
      </w:rPr>
      <w:instrText xml:space="preserve"> NUMPAGES \* ARABIC </w:instrText>
    </w:r>
    <w:r>
      <w:rPr>
        <w:b/>
      </w:rPr>
      <w:fldChar w:fldCharType="separate"/>
    </w:r>
    <w:r>
      <w:rPr>
        <w:b/>
      </w:rPr>
      <w:t>11</w:t>
    </w:r>
    <w:r>
      <w:rPr>
        <w:b/>
      </w:rPr>
      <w:fldChar w:fldCharType="end"/>
    </w:r>
  </w:p>
  <w:p>
    <w:pPr>
      <w:pStyle w:val="Footer"/>
      <w:pBdr>
        <w:top w:val="single" w:sz="12" w:space="1" w:color="000080"/>
      </w:pBdr>
      <w:tabs>
        <w:tab w:val="clear" w:pos="4153"/>
        <w:tab w:val="clear" w:pos="8306"/>
        <w:tab w:val="right" w:pos="8364" w:leader="none"/>
      </w:tabs>
      <w:rPr/>
    </w:pPr>
    <w:r>
      <w:rPr>
        <w:rStyle w:val="PageNumber"/>
        <w:rFonts w:cs="Arial" w:ascii="Arial" w:hAnsi="Arial"/>
        <w:i/>
        <w:color w:val="000080"/>
        <w:sz w:val="16"/>
      </w:rPr>
      <w:fldChar w:fldCharType="begin"/>
    </w:r>
    <w:r>
      <w:rPr>
        <w:rStyle w:val="PageNumber"/>
        <w:sz w:val="16"/>
        <w:i/>
        <w:rFonts w:cs="Arial" w:ascii="Arial" w:hAnsi="Arial"/>
        <w:color w:val="000080"/>
      </w:rPr>
      <w:instrText xml:space="preserve"> TITLE </w:instrText>
    </w:r>
    <w:r>
      <w:rPr>
        <w:rStyle w:val="PageNumber"/>
        <w:sz w:val="16"/>
        <w:i/>
        <w:rFonts w:cs="Arial" w:ascii="Arial" w:hAnsi="Arial"/>
        <w:color w:val="000080"/>
      </w:rPr>
      <w:fldChar w:fldCharType="separate"/>
    </w:r>
    <w:r>
      <w:rPr>
        <w:rStyle w:val="PageNumber"/>
        <w:sz w:val="16"/>
        <w:i/>
        <w:rFonts w:cs="Arial" w:ascii="Arial" w:hAnsi="Arial"/>
        <w:color w:val="000080"/>
      </w:rPr>
      <w:t>Placement Model v1.0</w:t>
    </w:r>
    <w:r>
      <w:rPr>
        <w:rStyle w:val="PageNumber"/>
        <w:sz w:val="16"/>
        <w:i/>
        <w:rFonts w:cs="Arial" w:ascii="Arial" w:hAnsi="Arial"/>
        <w:color w:val="000080"/>
      </w:rPr>
      <w:fldChar w:fldCharType="end"/>
    </w:r>
    <w:r>
      <w:rPr>
        <w:rStyle w:val="PageNumber"/>
        <w:rFonts w:cs="Arial" w:ascii="Arial" w:hAnsi="Arial"/>
        <w:i/>
        <w:color w:val="000080"/>
        <w:sz w:val="16"/>
      </w:rPr>
      <w:tab/>
      <w:t>Discussion Document</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12" w:space="1" w:color="000080"/>
      </w:pBdr>
      <w:tabs>
        <w:tab w:val="clear" w:pos="4153"/>
        <w:tab w:val="clear" w:pos="8306"/>
        <w:tab w:val="center" w:pos="4395" w:leader="none"/>
        <w:tab w:val="right" w:pos="8364" w:leader="none"/>
      </w:tabs>
      <w:rPr/>
    </w:pPr>
    <w:r>
      <w:rPr>
        <w:rFonts w:cs="Arial" w:ascii="Arial" w:hAnsi="Arial"/>
        <w:b/>
        <w:color w:val="000080"/>
      </w:rPr>
      <w:t>Enron Europe Limited</w:t>
      <w:tab/>
    </w:r>
    <w:r>
      <w:rPr>
        <w:rStyle w:val="PageNumber"/>
        <w:rFonts w:cs="Arial" w:ascii="Arial" w:hAnsi="Arial"/>
        <w:b/>
        <w:color w:val="000080"/>
      </w:rPr>
      <w:fldChar w:fldCharType="begin"/>
    </w:r>
    <w:r>
      <w:rPr>
        <w:rStyle w:val="PageNumber"/>
        <w:b/>
        <w:rFonts w:cs="Arial" w:ascii="Arial" w:hAnsi="Arial"/>
        <w:color w:val="000080"/>
      </w:rPr>
      <w:instrText xml:space="preserve"> PAGE </w:instrText>
    </w:r>
    <w:r>
      <w:rPr>
        <w:rStyle w:val="PageNumber"/>
        <w:b/>
        <w:rFonts w:cs="Arial" w:ascii="Arial" w:hAnsi="Arial"/>
        <w:color w:val="000080"/>
      </w:rPr>
      <w:fldChar w:fldCharType="separate"/>
    </w:r>
    <w:r>
      <w:rPr>
        <w:rStyle w:val="PageNumber"/>
        <w:b/>
        <w:rFonts w:cs="Arial" w:ascii="Arial" w:hAnsi="Arial"/>
        <w:color w:val="000080"/>
      </w:rPr>
      <w:t>11</w:t>
    </w:r>
    <w:r>
      <w:rPr>
        <w:rStyle w:val="PageNumber"/>
        <w:b/>
        <w:rFonts w:cs="Arial" w:ascii="Arial" w:hAnsi="Arial"/>
        <w:color w:val="000080"/>
      </w:rPr>
      <w:fldChar w:fldCharType="end"/>
    </w:r>
    <w:r>
      <w:rPr>
        <w:rFonts w:cs="Arial" w:ascii="Arial" w:hAnsi="Arial"/>
        <w:b/>
        <w:color w:val="000080"/>
      </w:rPr>
      <w:t xml:space="preserve"> </w:t>
      <w:tab/>
      <w:t xml:space="preserve">Page </w:t>
    </w:r>
    <w:r>
      <w:rPr>
        <w:rStyle w:val="PageNumber"/>
        <w:rFonts w:cs="Arial" w:ascii="Arial" w:hAnsi="Arial"/>
        <w:b/>
        <w:color w:val="000080"/>
      </w:rPr>
      <w:fldChar w:fldCharType="begin"/>
    </w:r>
    <w:r>
      <w:rPr>
        <w:rStyle w:val="PageNumber"/>
        <w:b/>
        <w:rFonts w:cs="Arial" w:ascii="Arial" w:hAnsi="Arial"/>
        <w:color w:val="000080"/>
      </w:rPr>
      <w:instrText xml:space="preserve"> PAGE </w:instrText>
    </w:r>
    <w:r>
      <w:rPr>
        <w:rStyle w:val="PageNumber"/>
        <w:b/>
        <w:rFonts w:cs="Arial" w:ascii="Arial" w:hAnsi="Arial"/>
        <w:color w:val="000080"/>
      </w:rPr>
      <w:fldChar w:fldCharType="separate"/>
    </w:r>
    <w:r>
      <w:rPr>
        <w:rStyle w:val="PageNumber"/>
        <w:b/>
        <w:rFonts w:cs="Arial" w:ascii="Arial" w:hAnsi="Arial"/>
        <w:color w:val="000080"/>
      </w:rPr>
      <w:t>11</w:t>
    </w:r>
    <w:r>
      <w:rPr>
        <w:rStyle w:val="PageNumber"/>
        <w:b/>
        <w:rFonts w:cs="Arial" w:ascii="Arial" w:hAnsi="Arial"/>
        <w:color w:val="000080"/>
      </w:rPr>
      <w:fldChar w:fldCharType="end"/>
    </w:r>
    <w:r>
      <w:rPr>
        <w:rStyle w:val="PageNumber"/>
        <w:rFonts w:cs="Arial" w:ascii="Arial" w:hAnsi="Arial"/>
        <w:b/>
        <w:color w:val="000080"/>
      </w:rPr>
      <w:t xml:space="preserve"> of </w:t>
    </w:r>
    <w:r>
      <w:rPr>
        <w:b/>
      </w:rPr>
      <w:fldChar w:fldCharType="begin"/>
    </w:r>
    <w:r>
      <w:rPr>
        <w:b/>
      </w:rPr>
      <w:instrText xml:space="preserve"> NUMPAGES \* ARABIC </w:instrText>
    </w:r>
    <w:r>
      <w:rPr>
        <w:b/>
      </w:rPr>
      <w:fldChar w:fldCharType="separate"/>
    </w:r>
    <w:r>
      <w:rPr>
        <w:b/>
      </w:rPr>
      <w:t>11</w:t>
    </w:r>
    <w:r>
      <w:rPr>
        <w:b/>
      </w:rPr>
      <w:fldChar w:fldCharType="end"/>
    </w:r>
  </w:p>
  <w:p>
    <w:pPr>
      <w:pStyle w:val="Footer"/>
      <w:pBdr>
        <w:top w:val="single" w:sz="12" w:space="1" w:color="000080"/>
      </w:pBdr>
      <w:tabs>
        <w:tab w:val="clear" w:pos="4153"/>
        <w:tab w:val="clear" w:pos="8306"/>
        <w:tab w:val="right" w:pos="8364" w:leader="none"/>
      </w:tabs>
      <w:rPr/>
    </w:pPr>
    <w:r>
      <w:rPr>
        <w:rStyle w:val="PageNumber"/>
        <w:rFonts w:cs="Arial" w:ascii="Arial" w:hAnsi="Arial"/>
        <w:i/>
        <w:color w:val="000080"/>
        <w:sz w:val="16"/>
      </w:rPr>
      <w:fldChar w:fldCharType="begin"/>
    </w:r>
    <w:r>
      <w:rPr>
        <w:rStyle w:val="PageNumber"/>
        <w:sz w:val="16"/>
        <w:i/>
        <w:rFonts w:cs="Arial" w:ascii="Arial" w:hAnsi="Arial"/>
        <w:color w:val="000080"/>
      </w:rPr>
      <w:instrText xml:space="preserve"> TITLE </w:instrText>
    </w:r>
    <w:r>
      <w:rPr>
        <w:rStyle w:val="PageNumber"/>
        <w:sz w:val="16"/>
        <w:i/>
        <w:rFonts w:cs="Arial" w:ascii="Arial" w:hAnsi="Arial"/>
        <w:color w:val="000080"/>
      </w:rPr>
      <w:fldChar w:fldCharType="separate"/>
    </w:r>
    <w:r>
      <w:rPr>
        <w:rStyle w:val="PageNumber"/>
        <w:sz w:val="16"/>
        <w:i/>
        <w:rFonts w:cs="Arial" w:ascii="Arial" w:hAnsi="Arial"/>
        <w:color w:val="000080"/>
      </w:rPr>
      <w:t>Placement Model v1.0</w:t>
    </w:r>
    <w:r>
      <w:rPr>
        <w:rStyle w:val="PageNumber"/>
        <w:sz w:val="16"/>
        <w:i/>
        <w:rFonts w:cs="Arial" w:ascii="Arial" w:hAnsi="Arial"/>
        <w:color w:val="000080"/>
      </w:rPr>
      <w:fldChar w:fldCharType="end"/>
    </w:r>
    <w:r>
      <w:rPr>
        <w:rStyle w:val="PageNumber"/>
        <w:rFonts w:cs="Arial" w:ascii="Arial" w:hAnsi="Arial"/>
        <w:i/>
        <w:color w:val="000080"/>
        <w:sz w:val="16"/>
      </w:rPr>
      <w:tab/>
      <w:t>Discussion Document</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12" w:space="1" w:color="000080"/>
      </w:pBdr>
      <w:tabs>
        <w:tab w:val="clear" w:pos="4153"/>
        <w:tab w:val="clear" w:pos="8306"/>
        <w:tab w:val="center" w:pos="4395" w:leader="none"/>
        <w:tab w:val="right" w:pos="8364" w:leader="none"/>
      </w:tabs>
      <w:rPr/>
    </w:pPr>
    <w:r>
      <w:rPr>
        <w:rFonts w:cs="Arial" w:ascii="Arial" w:hAnsi="Arial"/>
        <w:b/>
        <w:color w:val="000080"/>
      </w:rPr>
      <w:t>Enron Europe Limited</w:t>
      <w:tab/>
    </w:r>
    <w:r>
      <w:rPr>
        <w:rStyle w:val="PageNumber"/>
        <w:rFonts w:cs="Arial" w:ascii="Arial" w:hAnsi="Arial"/>
        <w:b/>
        <w:color w:val="000080"/>
      </w:rPr>
      <w:fldChar w:fldCharType="begin"/>
    </w:r>
    <w:r>
      <w:rPr>
        <w:rStyle w:val="PageNumber"/>
        <w:b/>
        <w:rFonts w:cs="Arial" w:ascii="Arial" w:hAnsi="Arial"/>
        <w:color w:val="000080"/>
      </w:rPr>
      <w:instrText xml:space="preserve"> PAGE </w:instrText>
    </w:r>
    <w:r>
      <w:rPr>
        <w:rStyle w:val="PageNumber"/>
        <w:b/>
        <w:rFonts w:cs="Arial" w:ascii="Arial" w:hAnsi="Arial"/>
        <w:color w:val="000080"/>
      </w:rPr>
      <w:fldChar w:fldCharType="separate"/>
    </w:r>
    <w:r>
      <w:rPr>
        <w:rStyle w:val="PageNumber"/>
        <w:b/>
        <w:rFonts w:cs="Arial" w:ascii="Arial" w:hAnsi="Arial"/>
        <w:color w:val="000080"/>
      </w:rPr>
      <w:t>3</w:t>
    </w:r>
    <w:r>
      <w:rPr>
        <w:rStyle w:val="PageNumber"/>
        <w:b/>
        <w:rFonts w:cs="Arial" w:ascii="Arial" w:hAnsi="Arial"/>
        <w:color w:val="000080"/>
      </w:rPr>
      <w:fldChar w:fldCharType="end"/>
    </w:r>
    <w:r>
      <w:rPr>
        <w:rFonts w:cs="Arial" w:ascii="Arial" w:hAnsi="Arial"/>
        <w:b/>
        <w:color w:val="000080"/>
      </w:rPr>
      <w:t xml:space="preserve"> </w:t>
      <w:tab/>
      <w:t xml:space="preserve">Page </w:t>
    </w:r>
    <w:r>
      <w:rPr>
        <w:rStyle w:val="PageNumber"/>
        <w:rFonts w:cs="Arial" w:ascii="Arial" w:hAnsi="Arial"/>
        <w:b/>
        <w:color w:val="000080"/>
      </w:rPr>
      <w:fldChar w:fldCharType="begin"/>
    </w:r>
    <w:r>
      <w:rPr>
        <w:rStyle w:val="PageNumber"/>
        <w:b/>
        <w:rFonts w:cs="Arial" w:ascii="Arial" w:hAnsi="Arial"/>
        <w:color w:val="000080"/>
      </w:rPr>
      <w:instrText xml:space="preserve"> PAGE </w:instrText>
    </w:r>
    <w:r>
      <w:rPr>
        <w:rStyle w:val="PageNumber"/>
        <w:b/>
        <w:rFonts w:cs="Arial" w:ascii="Arial" w:hAnsi="Arial"/>
        <w:color w:val="000080"/>
      </w:rPr>
      <w:fldChar w:fldCharType="separate"/>
    </w:r>
    <w:r>
      <w:rPr>
        <w:rStyle w:val="PageNumber"/>
        <w:b/>
        <w:rFonts w:cs="Arial" w:ascii="Arial" w:hAnsi="Arial"/>
        <w:color w:val="000080"/>
      </w:rPr>
      <w:t>3</w:t>
    </w:r>
    <w:r>
      <w:rPr>
        <w:rStyle w:val="PageNumber"/>
        <w:b/>
        <w:rFonts w:cs="Arial" w:ascii="Arial" w:hAnsi="Arial"/>
        <w:color w:val="000080"/>
      </w:rPr>
      <w:fldChar w:fldCharType="end"/>
    </w:r>
    <w:r>
      <w:rPr>
        <w:rStyle w:val="PageNumber"/>
        <w:rFonts w:cs="Arial" w:ascii="Arial" w:hAnsi="Arial"/>
        <w:b/>
        <w:color w:val="000080"/>
      </w:rPr>
      <w:t xml:space="preserve"> of </w:t>
    </w:r>
    <w:r>
      <w:rPr>
        <w:b/>
      </w:rPr>
      <w:fldChar w:fldCharType="begin"/>
    </w:r>
    <w:r>
      <w:rPr>
        <w:b/>
      </w:rPr>
      <w:instrText xml:space="preserve"> NUMPAGES \* ARABIC </w:instrText>
    </w:r>
    <w:r>
      <w:rPr>
        <w:b/>
      </w:rPr>
      <w:fldChar w:fldCharType="separate"/>
    </w:r>
    <w:r>
      <w:rPr>
        <w:b/>
      </w:rPr>
      <w:t>11</w:t>
    </w:r>
    <w:r>
      <w:rPr>
        <w:b/>
      </w:rPr>
      <w:fldChar w:fldCharType="end"/>
    </w:r>
  </w:p>
  <w:p>
    <w:pPr>
      <w:pStyle w:val="Footer"/>
      <w:pBdr>
        <w:top w:val="single" w:sz="12" w:space="1" w:color="000080"/>
      </w:pBdr>
      <w:tabs>
        <w:tab w:val="clear" w:pos="4153"/>
        <w:tab w:val="clear" w:pos="8306"/>
        <w:tab w:val="right" w:pos="8364" w:leader="none"/>
      </w:tabs>
      <w:rPr/>
    </w:pPr>
    <w:r>
      <w:rPr>
        <w:rStyle w:val="PageNumber"/>
        <w:rFonts w:cs="Arial" w:ascii="Arial" w:hAnsi="Arial"/>
        <w:i/>
        <w:color w:val="000080"/>
        <w:sz w:val="16"/>
      </w:rPr>
      <w:fldChar w:fldCharType="begin"/>
    </w:r>
    <w:r>
      <w:rPr>
        <w:rStyle w:val="PageNumber"/>
        <w:sz w:val="16"/>
        <w:i/>
        <w:rFonts w:cs="Arial" w:ascii="Arial" w:hAnsi="Arial"/>
        <w:color w:val="000080"/>
      </w:rPr>
      <w:instrText xml:space="preserve"> TITLE </w:instrText>
    </w:r>
    <w:r>
      <w:rPr>
        <w:rStyle w:val="PageNumber"/>
        <w:sz w:val="16"/>
        <w:i/>
        <w:rFonts w:cs="Arial" w:ascii="Arial" w:hAnsi="Arial"/>
        <w:color w:val="000080"/>
      </w:rPr>
      <w:fldChar w:fldCharType="separate"/>
    </w:r>
    <w:r>
      <w:rPr>
        <w:rStyle w:val="PageNumber"/>
        <w:sz w:val="16"/>
        <w:i/>
        <w:rFonts w:cs="Arial" w:ascii="Arial" w:hAnsi="Arial"/>
        <w:color w:val="000080"/>
      </w:rPr>
      <w:t>Placement Model v1.0</w:t>
    </w:r>
    <w:r>
      <w:rPr>
        <w:rStyle w:val="PageNumber"/>
        <w:sz w:val="16"/>
        <w:i/>
        <w:rFonts w:cs="Arial" w:ascii="Arial" w:hAnsi="Arial"/>
        <w:color w:val="000080"/>
      </w:rPr>
      <w:fldChar w:fldCharType="end"/>
    </w:r>
    <w:r>
      <w:rPr>
        <w:rStyle w:val="PageNumber"/>
        <w:rFonts w:cs="Arial" w:ascii="Arial" w:hAnsi="Arial"/>
        <w:i/>
        <w:color w:val="000080"/>
        <w:sz w:val="16"/>
      </w:rPr>
      <w:tab/>
      <w:t>Discussion Document</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FootnoteCharacters"/>
        </w:rPr>
        <w:footnoteRef/>
      </w:r>
      <w:r>
        <w:rPr/>
        <w:t xml:space="preserve"> </w:t>
      </w:r>
      <w:r>
        <w:rPr/>
        <w:t>See paper by Nigel Price for more information regarding this model.</w:t>
      </w:r>
    </w:p>
  </w:footnote>
  <w:footnote w:id="3">
    <w:p>
      <w:pPr>
        <w:pStyle w:val="FootnoteText"/>
        <w:rPr/>
      </w:pPr>
      <w:r>
        <w:rPr>
          <w:rStyle w:val="FootnoteCharacters"/>
        </w:rPr>
        <w:footnoteRef/>
      </w:r>
      <w:r>
        <w:rPr/>
        <w:t xml:space="preserve"> </w:t>
      </w:r>
      <w:r>
        <w:rPr/>
        <w:t>R</w:t>
      </w:r>
      <w:r>
        <w:rPr>
          <w:vertAlign w:val="superscript"/>
        </w:rPr>
        <w:t>2</w:t>
      </w:r>
      <w:r>
        <w:rPr/>
        <w:t xml:space="preserve"> on entire dataset was 68%, which increased to 71% on non-subsidiaries. Testing on subsidiaries gave R</w:t>
      </w:r>
      <w:r>
        <w:rPr>
          <w:vertAlign w:val="superscript"/>
        </w:rPr>
        <w:t>2</w:t>
      </w:r>
      <w:r>
        <w:rPr/>
        <w:t xml:space="preserve"> of 44%.</w:t>
      </w:r>
    </w:p>
  </w:footnote>
  <w:footnote w:id="4">
    <w:p>
      <w:pPr>
        <w:pStyle w:val="FootnoteText"/>
        <w:rPr/>
      </w:pPr>
      <w:r>
        <w:rPr>
          <w:rStyle w:val="FootnoteCharacters"/>
        </w:rPr>
        <w:footnoteRef/>
      </w:r>
      <w:r>
        <w:rPr/>
        <w:t xml:space="preserve"> </w:t>
      </w:r>
      <w:r>
        <w:rPr/>
        <w:t xml:space="preserve">In this example the upper and lower bounds will actually be 0.02 and 20, rather than </w:t>
      </w:r>
      <w:r>
        <w:rPr>
          <w:rFonts w:eastAsia="Symbol" w:cs="Symbol" w:ascii="Symbol" w:hAnsi="Symbol"/>
        </w:rPr>
        <w:sym w:font="Symbol" w:char="f0b1"/>
        <w:sym w:font="Symbol" w:char="f0a5"/>
      </w:r>
      <w:r>
        <w:rPr/>
        <w:t>.</w:t>
      </w:r>
    </w:p>
  </w:footnote>
  <w:footnote w:id="5">
    <w:p>
      <w:pPr>
        <w:pStyle w:val="FootnoteText"/>
        <w:rPr/>
      </w:pPr>
      <w:r>
        <w:rPr>
          <w:rStyle w:val="FootnoteCharacters"/>
        </w:rPr>
        <w:footnoteRef/>
      </w:r>
      <w:r>
        <w:rPr/>
        <w:t xml:space="preserve"> </w:t>
      </w:r>
      <w:r>
        <w:rPr/>
        <w:t>See Johnson and Wichern, p400</w:t>
      </w:r>
    </w:p>
  </w:footnote>
  <w:footnote w:id="6">
    <w:p>
      <w:pPr>
        <w:pStyle w:val="FootnoteText"/>
        <w:rPr/>
      </w:pPr>
      <w:r>
        <w:rPr>
          <w:rStyle w:val="FootnoteCharacters"/>
        </w:rPr>
        <w:footnoteRef/>
      </w:r>
      <w:r>
        <w:rPr/>
        <w:t xml:space="preserve"> </w:t>
      </w:r>
      <w:r>
        <w:rPr/>
        <w:t>Missing values are assigned a bin based on analysis performed during model calibration.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459740" cy="457200"/>
          <wp:effectExtent l="0" t="0" r="0" b="0"/>
          <wp:docPr id="3"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title=""/>
                  <pic:cNvPicPr>
                    <a:picLocks noChangeAspect="1" noChangeArrowheads="1"/>
                  </pic:cNvPicPr>
                </pic:nvPicPr>
                <pic:blipFill>
                  <a:blip r:embed="rId1"/>
                  <a:srcRect l="-39" t="-39" r="-39" b="-39"/>
                  <a:stretch>
                    <a:fillRect/>
                  </a:stretch>
                </pic:blipFill>
                <pic:spPr bwMode="auto">
                  <a:xfrm>
                    <a:off x="0" y="0"/>
                    <a:ext cx="459740" cy="457200"/>
                  </a:xfrm>
                  <a:prstGeom prst="rect">
                    <a:avLst/>
                  </a:prstGeom>
                  <a:noFill/>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459740" cy="457200"/>
          <wp:effectExtent l="0" t="0" r="0" b="0"/>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1"/>
                  <a:srcRect l="-39" t="-39" r="-39" b="-39"/>
                  <a:stretch>
                    <a:fillRect/>
                  </a:stretch>
                </pic:blipFill>
                <pic:spPr bwMode="auto">
                  <a:xfrm>
                    <a:off x="0" y="0"/>
                    <a:ext cx="459740" cy="457200"/>
                  </a:xfrm>
                  <a:prstGeom prst="rect">
                    <a:avLst/>
                  </a:prstGeom>
                  <a:noFill/>
                </pic:spPr>
              </pic:pic>
            </a:graphicData>
          </a:graphic>
        </wp:inline>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459740" cy="457200"/>
          <wp:effectExtent l="0" t="0" r="0" b="0"/>
          <wp:docPr id="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title=""/>
                  <pic:cNvPicPr>
                    <a:picLocks noChangeAspect="1" noChangeArrowheads="1"/>
                  </pic:cNvPicPr>
                </pic:nvPicPr>
                <pic:blipFill>
                  <a:blip r:embed="rId1"/>
                  <a:srcRect l="-39" t="-39" r="-39" b="-39"/>
                  <a:stretch>
                    <a:fillRect/>
                  </a:stretch>
                </pic:blipFill>
                <pic:spPr bwMode="auto">
                  <a:xfrm>
                    <a:off x="0" y="0"/>
                    <a:ext cx="459740" cy="457200"/>
                  </a:xfrm>
                  <a:prstGeom prst="rect">
                    <a:avLst/>
                  </a:prstGeom>
                  <a:noFill/>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start"/>
      <w:pPr>
        <w:tabs>
          <w:tab w:val="num" w:pos="432"/>
        </w:tabs>
        <w:ind w:start="432" w:hanging="432"/>
      </w:pPr>
    </w:lvl>
    <w:lvl w:ilvl="1">
      <w:start w:val="1"/>
      <w:pStyle w:val="Heading2"/>
      <w:numFmt w:val="decimal"/>
      <w:lvlText w:val="%1.%2"/>
      <w:lvlJc w:val="start"/>
      <w:pPr>
        <w:tabs>
          <w:tab w:val="num" w:pos="576"/>
        </w:tabs>
        <w:ind w:start="576" w:hanging="576"/>
      </w:pPr>
    </w:lvl>
    <w:lvl w:ilvl="2">
      <w:start w:val="1"/>
      <w:pStyle w:val="Heading3"/>
      <w:numFmt w:val="decimal"/>
      <w:lvlText w:val="%1.%2.%3"/>
      <w:lvlJc w:val="start"/>
      <w:pPr>
        <w:tabs>
          <w:tab w:val="num" w:pos="720"/>
        </w:tabs>
        <w:ind w:start="720" w:hanging="720"/>
      </w:pPr>
    </w:lvl>
    <w:lvl w:ilvl="3">
      <w:start w:val="1"/>
      <w:pStyle w:val="Heading4"/>
      <w:numFmt w:val="decimal"/>
      <w:lvlText w:val="%1.%2.%3.%4"/>
      <w:lvlJc w:val="start"/>
      <w:pPr>
        <w:tabs>
          <w:tab w:val="num" w:pos="864"/>
        </w:tabs>
        <w:ind w:start="864" w:hanging="864"/>
      </w:pPr>
    </w:lvl>
    <w:lvl w:ilvl="4">
      <w:start w:val="1"/>
      <w:pStyle w:val="Heading5"/>
      <w:numFmt w:val="decimal"/>
      <w:lvlText w:val="%1.%2.%3.%4.%5"/>
      <w:lvlJc w:val="start"/>
      <w:pPr>
        <w:tabs>
          <w:tab w:val="num" w:pos="1008"/>
        </w:tabs>
        <w:ind w:start="1008" w:hanging="1008"/>
      </w:pPr>
    </w:lvl>
    <w:lvl w:ilvl="5">
      <w:start w:val="1"/>
      <w:pStyle w:val="Heading6"/>
      <w:numFmt w:val="decimal"/>
      <w:lvlText w:val="%1.%2.%3.%4.%5.%6"/>
      <w:lvlJc w:val="start"/>
      <w:pPr>
        <w:tabs>
          <w:tab w:val="num" w:pos="1152"/>
        </w:tabs>
        <w:ind w:start="1152" w:hanging="1152"/>
      </w:pPr>
    </w:lvl>
    <w:lvl w:ilvl="6">
      <w:start w:val="1"/>
      <w:pStyle w:val="Heading7"/>
      <w:numFmt w:val="decimal"/>
      <w:lvlText w:val="%1.%2.%3.%4.%5.%6.%7"/>
      <w:lvlJc w:val="start"/>
      <w:pPr>
        <w:tabs>
          <w:tab w:val="num" w:pos="1296"/>
        </w:tabs>
        <w:ind w:start="1296" w:hanging="1296"/>
      </w:pPr>
    </w:lvl>
    <w:lvl w:ilvl="7">
      <w:start w:val="1"/>
      <w:pStyle w:val="Heading8"/>
      <w:numFmt w:val="decimal"/>
      <w:lvlText w:val="%1.%2.%3.%4.%5.%6.%7.%8"/>
      <w:lvlJc w:val="start"/>
      <w:pPr>
        <w:tabs>
          <w:tab w:val="num" w:pos="1440"/>
        </w:tabs>
        <w:ind w:start="1440" w:hanging="1440"/>
      </w:pPr>
    </w:lvl>
    <w:lvl w:ilvl="8">
      <w:start w:val="1"/>
      <w:pStyle w:val="Heading9"/>
      <w:numFmt w:val="decimal"/>
      <w:lvlText w:val="%1.%2.%3.%4.%5.%6.%7.%8.%9"/>
      <w:lvlJc w:val="start"/>
      <w:pPr>
        <w:tabs>
          <w:tab w:val="num" w:pos="1584"/>
        </w:tabs>
        <w:ind w:start="1584" w:hanging="1584"/>
      </w:pPr>
    </w:lvl>
  </w:abstractNum>
  <w:num w:numId="1">
    <w:abstractNumId w:val="1"/>
  </w:num>
</w:numbering>
</file>

<file path=word/settings.xml><?xml version="1.0" encoding="utf-8"?>
<w:settings xmlns:w="http://schemas.openxmlformats.org/wordprocessingml/2006/main">
  <w:zoom w:percent="90"/>
  <w:defaultTabStop w:val="709"/>
  <w:autoHyphenation w:val="true"/>
  <w:hyphenationZone w:val="0"/>
  <w:footnotePr>
    <w:numFmt w:val="decimal"/>
    <w:footnote w:id="0"/>
    <w:footnote w:id="1"/>
  </w:footnotePr>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GB"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color w:val="000080"/>
      <w:kern w:val="2"/>
      <w:sz w:val="28"/>
    </w:rPr>
  </w:style>
  <w:style w:type="paragraph" w:styleId="Heading2">
    <w:name w:val="heading 2"/>
    <w:basedOn w:val="Normal"/>
    <w:next w:val="Normal"/>
    <w:qFormat/>
    <w:pPr>
      <w:keepNext w:val="true"/>
      <w:numPr>
        <w:ilvl w:val="1"/>
        <w:numId w:val="1"/>
      </w:numPr>
      <w:outlineLvl w:val="1"/>
    </w:pPr>
    <w:rPr>
      <w:rFonts w:ascii="Arial" w:hAnsi="Arial" w:cs="Arial"/>
      <w:b/>
      <w:color w:val="000080"/>
      <w:sz w:val="24"/>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color w:val="000080"/>
    </w:rPr>
  </w:style>
  <w:style w:type="paragraph" w:styleId="Heading4">
    <w:name w:val="heading 4"/>
    <w:basedOn w:val="Normal"/>
    <w:next w:val="Normal"/>
    <w:qFormat/>
    <w:pPr>
      <w:keepNext w:val="true"/>
      <w:numPr>
        <w:ilvl w:val="3"/>
        <w:numId w:val="1"/>
      </w:numPr>
      <w:outlineLvl w:val="3"/>
    </w:pPr>
    <w:rPr>
      <w:rFonts w:ascii="Arial" w:hAnsi="Arial" w:cs="Arial"/>
      <w:i/>
      <w:color w:val="000080"/>
    </w:rPr>
  </w:style>
  <w:style w:type="paragraph" w:styleId="Heading5">
    <w:name w:val="heading 5"/>
    <w:basedOn w:val="Normal"/>
    <w:next w:val="Normal"/>
    <w:qFormat/>
    <w:pPr>
      <w:keepNext w:val="true"/>
      <w:numPr>
        <w:ilvl w:val="4"/>
        <w:numId w:val="1"/>
      </w:numPr>
      <w:outlineLvl w:val="4"/>
    </w:pPr>
    <w:rPr>
      <w:rFonts w:ascii="Arial" w:hAnsi="Arial" w:cs="Arial"/>
      <w:i/>
      <w:color w:val="000080"/>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rPr>
  </w:style>
  <w:style w:type="paragraph" w:styleId="Heading9">
    <w:name w:val="heading 9"/>
    <w:basedOn w:val="Normal"/>
    <w:next w:val="Normal"/>
    <w:qFormat/>
    <w:pPr>
      <w:numPr>
        <w:ilvl w:val="8"/>
        <w:numId w:val="1"/>
      </w:numPr>
      <w:spacing w:before="240" w:after="60"/>
      <w:outlineLvl w:val="8"/>
    </w:pPr>
    <w:rPr>
      <w:rFonts w:ascii="Arial" w:hAnsi="Arial" w:cs="Arial"/>
      <w:b/>
      <w:i/>
      <w:sz w:val="18"/>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6z0">
    <w:name w:val="WW8Num6z0"/>
    <w:qFormat/>
    <w:rPr/>
  </w:style>
  <w:style w:type="character" w:styleId="WW8Num7z0">
    <w:name w:val="WW8Num7z0"/>
    <w:qFormat/>
    <w:rPr/>
  </w:style>
  <w:style w:type="character" w:styleId="WW8Num8z0">
    <w:name w:val="WW8Num8z0"/>
    <w:qFormat/>
    <w:rPr>
      <w:rFonts w:ascii="Symbol" w:hAnsi="Symbol" w:cs="Symbol"/>
    </w:rPr>
  </w:style>
  <w:style w:type="character" w:styleId="WW8Num9z0">
    <w:name w:val="WW8Num9z0"/>
    <w:qFormat/>
    <w:rPr/>
  </w:style>
  <w:style w:type="character" w:styleId="WW8Num10z0">
    <w:name w:val="WW8Num10z0"/>
    <w:qFormat/>
    <w:rPr>
      <w:rFonts w:ascii="Symbol" w:hAnsi="Symbol" w:cs="Symbol"/>
    </w:rPr>
  </w:style>
  <w:style w:type="character" w:styleId="WW8Num12z0">
    <w:name w:val="WW8Num12z0"/>
    <w:qFormat/>
    <w:rPr>
      <w:rFonts w:ascii="Symbol" w:hAnsi="Symbol" w:cs="Symbol"/>
    </w:rPr>
  </w:style>
  <w:style w:type="character" w:styleId="WW8Num13z0">
    <w:name w:val="WW8Num13z0"/>
    <w:qFormat/>
    <w:rPr>
      <w:rFonts w:ascii="Symbol" w:hAnsi="Symbol" w:cs="Symbol"/>
    </w:rPr>
  </w:style>
  <w:style w:type="character" w:styleId="WW8Num14z0">
    <w:name w:val="WW8Num14z0"/>
    <w:qFormat/>
    <w:rPr/>
  </w:style>
  <w:style w:type="character" w:styleId="WW8Num15z0">
    <w:name w:val="WW8Num15z0"/>
    <w:qFormat/>
    <w:rPr/>
  </w:style>
  <w:style w:type="character" w:styleId="WW8Num17z0">
    <w:name w:val="WW8Num17z0"/>
    <w:qFormat/>
    <w:rPr/>
  </w:style>
  <w:style w:type="character" w:styleId="WW8Num18z0">
    <w:name w:val="WW8Num18z0"/>
    <w:qFormat/>
    <w:rPr/>
  </w:style>
  <w:style w:type="character" w:styleId="WW8Num19z0">
    <w:name w:val="WW8Num19z0"/>
    <w:qFormat/>
    <w:rPr/>
  </w:style>
  <w:style w:type="character" w:styleId="WW8Num20z0">
    <w:name w:val="WW8Num20z0"/>
    <w:qFormat/>
    <w:rPr/>
  </w:style>
  <w:style w:type="character" w:styleId="WW8Num23z0">
    <w:name w:val="WW8Num23z0"/>
    <w:qFormat/>
    <w:rPr>
      <w:rFonts w:ascii="Symbol" w:hAnsi="Symbol" w:cs="Symbol"/>
    </w:rPr>
  </w:style>
  <w:style w:type="character" w:styleId="WW8Num25z0">
    <w:name w:val="WW8Num25z0"/>
    <w:qFormat/>
    <w:rPr/>
  </w:style>
  <w:style w:type="character" w:styleId="WW8NumSt1z0">
    <w:name w:val="WW8NumSt1z0"/>
    <w:qFormat/>
    <w:rPr>
      <w:rFonts w:ascii="Symbol" w:hAnsi="Symbol" w:cs="Symbol"/>
      <w:sz w:val="20"/>
    </w:rPr>
  </w:style>
  <w:style w:type="character" w:styleId="DefaultParagraphFont">
    <w:name w:val="Default Paragraph Font"/>
    <w:qFormat/>
    <w:rPr/>
  </w:style>
  <w:style w:type="character" w:styleId="PageNumber">
    <w:name w:val="page number"/>
    <w:basedOn w:val="DefaultParagraphFont"/>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FootnoteCharacters">
    <w:name w:val="Footnote Characters"/>
    <w:basedOn w:val="DefaultParagraphFont"/>
    <w:qFormat/>
    <w:rPr>
      <w:vertAlign w:val="superscript"/>
    </w:rPr>
  </w:style>
  <w:style w:type="character" w:styleId="IndexLink">
    <w:name w:val="Index Link"/>
    <w:qForma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jc w:val="center"/>
    </w:pPr>
    <w:rPr>
      <w:i/>
      <w:sz w:val="56"/>
    </w:rPr>
  </w:style>
  <w:style w:type="paragraph" w:styleId="BodyText">
    <w:name w:val="Body Text"/>
    <w:basedOn w:val="Normal"/>
    <w:pPr>
      <w:jc w:val="both"/>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Indent">
    <w:name w:val="Body Text Indent"/>
    <w:basedOn w:val="Normal"/>
    <w:pPr>
      <w:ind w:hanging="0" w:start="432" w:end="0"/>
    </w:pPr>
    <w:rPr>
      <w:lang w:val="en-US"/>
    </w:rPr>
  </w:style>
  <w:style w:type="paragraph" w:styleId="Custom2">
    <w:name w:val="Custom 2"/>
    <w:basedOn w:val="Normal"/>
    <w:qFormat/>
    <w:pPr/>
    <w:rPr>
      <w:rFonts w:ascii="Arial" w:hAnsi="Arial" w:cs="Arial"/>
      <w:i/>
    </w:rPr>
  </w:style>
  <w:style w:type="paragraph" w:styleId="FootnoteText">
    <w:name w:val="footnote text"/>
    <w:basedOn w:val="Normal"/>
    <w:pPr/>
    <w:rPr/>
  </w:style>
  <w:style w:type="paragraph" w:styleId="Hidden">
    <w:name w:val="Hidden"/>
    <w:basedOn w:val="Normal"/>
    <w:qFormat/>
    <w:pPr/>
    <w:rPr>
      <w:i/>
      <w:vanish/>
      <w:color w:val="FF0000"/>
    </w:rPr>
  </w:style>
  <w:style w:type="paragraph" w:styleId="TOC1">
    <w:name w:val="toc 1"/>
    <w:basedOn w:val="Normal"/>
    <w:next w:val="Normal"/>
    <w:pPr>
      <w:spacing w:before="120" w:after="120"/>
    </w:pPr>
    <w:rPr>
      <w:b/>
      <w:caps/>
      <w:lang w:val="en-US"/>
    </w:rPr>
  </w:style>
  <w:style w:type="paragraph" w:styleId="TOC2">
    <w:name w:val="toc 2"/>
    <w:basedOn w:val="Normal"/>
    <w:next w:val="Normal"/>
    <w:pPr>
      <w:ind w:hanging="0" w:start="200" w:end="0"/>
    </w:pPr>
    <w:rPr>
      <w:smallCaps/>
      <w:lang w:val="en-US"/>
    </w:rPr>
  </w:style>
  <w:style w:type="paragraph" w:styleId="BodyText2">
    <w:name w:val="Body Text 2"/>
    <w:basedOn w:val="Normal"/>
    <w:qFormat/>
    <w:pPr/>
    <w:rPr>
      <w:i/>
      <w:lang w:val="en-US"/>
    </w:rPr>
  </w:style>
  <w:style w:type="paragraph" w:styleId="PlainText">
    <w:name w:val="Plain Text"/>
    <w:basedOn w:val="Normal"/>
    <w:qFormat/>
    <w:pPr/>
    <w:rPr>
      <w:rFonts w:ascii="Courier New" w:hAnsi="Courier New" w:cs="Courier New"/>
      <w:lang w:val="en-US"/>
    </w:rPr>
  </w:style>
  <w:style w:type="paragraph" w:styleId="TOC3">
    <w:name w:val="toc 3"/>
    <w:basedOn w:val="Normal"/>
    <w:next w:val="Normal"/>
    <w:pPr>
      <w:ind w:hanging="0" w:start="400" w:end="0"/>
    </w:pPr>
    <w:rPr/>
  </w:style>
  <w:style w:type="paragraph" w:styleId="DocumentMap">
    <w:name w:val="Document Map"/>
    <w:basedOn w:val="Normal"/>
    <w:qFormat/>
    <w:pPr>
      <w:shd w:fill="000080" w:val="clear"/>
    </w:pPr>
    <w:rPr>
      <w:rFonts w:ascii="Tahoma" w:hAnsi="Tahoma" w:cs="Tahoma"/>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package" Target="embeddings/oleObject1.xlsx"/><Relationship Id="rId8" Type="http://schemas.openxmlformats.org/officeDocument/2006/relationships/image" Target="media/image2.wmf"/><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4.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DiscussionDocTemplate</Template>
  <TotalTime>177</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2000-11-24T08:17:00Z</dcterms:created>
  <dc:creator>bparsons</dc:creator>
  <dc:description/>
  <dc:language>en-CA</dc:language>
  <cp:lastModifiedBy>bparsons</cp:lastModifiedBy>
  <cp:lastPrinted>2000-11-24T13:43:00Z</cp:lastPrinted>
  <dcterms:modified xsi:type="dcterms:W3CDTF">2000-11-24T11:15:00Z</dcterms:modified>
  <cp:revision>11</cp:revision>
  <dc:subject/>
  <dc:title>Placement Model v1.0</dc:title>
</cp:coreProperties>
</file>