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none"/>
        </w:rPr>
      </w:pPr>
      <w:r>
        <w:rPr>
          <w:b/>
          <w:u w:val="none"/>
        </w:rPr>
        <w:t>ENRONONLINE CHARGE SCHEDULE</w:t>
      </w:r>
    </w:p>
    <w:p>
      <w:pPr>
        <w:pStyle w:val="Normal"/>
        <w:jc w:val="center"/>
        <w:rPr>
          <w:rFonts w:ascii="Arial" w:hAnsi="Arial" w:cs="Arial"/>
          <w:sz w:val="22"/>
        </w:rPr>
      </w:pPr>
      <w:r>
        <w:rPr>
          <w:rFonts w:cs="Arial" w:ascii="Arial" w:hAnsi="Arial"/>
          <w:sz w:val="22"/>
        </w:rPr>
        <w:t>Jan 23, 2001</w:t>
      </w:r>
    </w:p>
    <w:p>
      <w:pPr>
        <w:pStyle w:val="Heading1"/>
        <w:ind w:hanging="0" w:start="0"/>
        <w:rPr>
          <w:rFonts w:ascii="Arial" w:hAnsi="Arial" w:cs="Arial"/>
          <w:sz w:val="22"/>
          <w:u w:val="none"/>
        </w:rPr>
      </w:pPr>
      <w:r>
        <w:rPr>
          <w:rFonts w:cs="Arial"/>
          <w:sz w:val="22"/>
          <w:u w:val="none"/>
        </w:rPr>
      </w:r>
    </w:p>
    <w:p>
      <w:pPr>
        <w:pStyle w:val="Normal"/>
        <w:rPr>
          <w:u w:val="none"/>
        </w:rPr>
      </w:pPr>
      <w:r>
        <w:rPr>
          <w:u w:val="none"/>
        </w:rPr>
      </w:r>
    </w:p>
    <w:p>
      <w:pPr>
        <w:pStyle w:val="Heading1"/>
        <w:ind w:hanging="0" w:start="0"/>
        <w:jc w:val="both"/>
        <w:rPr>
          <w:u w:val="none"/>
        </w:rPr>
      </w:pPr>
      <w:r>
        <w:rPr>
          <w:u w:val="none"/>
        </w:rPr>
        <w:t>This document describes the fees which are in effect for EnronOnline services. For purposes of this analysis, the definition of Products follows the usual EnronOnline definition, but EXCLUDING tenors. (i.e. if the only difference between 2 Products is their tenor, they are considered 1 Product for charging purposes).</w:t>
      </w:r>
    </w:p>
    <w:p>
      <w:pPr>
        <w:pStyle w:val="Heading1"/>
        <w:ind w:hanging="0" w:start="0"/>
        <w:rPr>
          <w:u w:val="none"/>
        </w:rPr>
      </w:pPr>
      <w:r>
        <w:rPr>
          <w:u w:val="none"/>
        </w:rPr>
      </w:r>
    </w:p>
    <w:p>
      <w:pPr>
        <w:pStyle w:val="Heading1"/>
        <w:ind w:hanging="0" w:start="0"/>
        <w:rPr/>
      </w:pPr>
      <w:r>
        <w:rPr/>
      </w:r>
    </w:p>
    <w:p>
      <w:pPr>
        <w:pStyle w:val="Heading1"/>
        <w:ind w:hanging="0" w:start="0"/>
        <w:rPr/>
      </w:pPr>
      <w:r>
        <w:rPr/>
        <w:t>Capacity Trading (3</w:t>
      </w:r>
      <w:r>
        <w:rPr>
          <w:vertAlign w:val="superscript"/>
        </w:rPr>
        <w:t>rd</w:t>
      </w:r>
      <w:r>
        <w:rPr/>
        <w:t xml:space="preserve"> Party Pipelines)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$500,000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3 Product Types and up to 30 total Products. </w:t>
      </w:r>
    </w:p>
    <w:p>
      <w:pPr>
        <w:pStyle w:val="Normal"/>
        <w:numPr>
          <w:ilvl w:val="0"/>
          <w:numId w:val="2"/>
        </w:numPr>
        <w:rPr>
          <w:rFonts w:ascii="Arial" w:hAnsi="Arial" w:cs="Arial"/>
          <w:sz w:val="22"/>
        </w:rPr>
      </w:pPr>
      <w:r>
        <w:rPr>
          <w:rFonts w:cs="Arial" w:ascii="Arial" w:hAnsi="Arial"/>
          <w:sz w:val="22"/>
        </w:rPr>
        <w:t>Includes a license to use the necessary EnronOnline applications (e.g. Stack Manager light)</w:t>
      </w:r>
    </w:p>
    <w:p>
      <w:pPr>
        <w:pStyle w:val="Normal"/>
        <w:numPr>
          <w:ilvl w:val="0"/>
          <w:numId w:val="2"/>
        </w:numPr>
        <w:rPr>
          <w:rFonts w:ascii="Arial" w:hAnsi="Arial" w:cs="Arial"/>
          <w:sz w:val="22"/>
        </w:rPr>
      </w:pPr>
      <w:r>
        <w:rPr>
          <w:rFonts w:cs="Arial" w:ascii="Arial" w:hAnsi="Arial"/>
          <w:sz w:val="22"/>
        </w:rPr>
        <w:t>Includes training for up to 3 users</w:t>
      </w:r>
    </w:p>
    <w:p>
      <w:pPr>
        <w:pStyle w:val="Normal"/>
        <w:numPr>
          <w:ilvl w:val="0"/>
          <w:numId w:val="2"/>
        </w:numPr>
        <w:rPr>
          <w:rFonts w:ascii="Arial" w:hAnsi="Arial" w:cs="Arial"/>
          <w:sz w:val="22"/>
        </w:rPr>
      </w:pPr>
      <w:r>
        <w:rPr>
          <w:rFonts w:cs="Arial" w:ascii="Arial" w:hAnsi="Arial"/>
          <w:sz w:val="22"/>
        </w:rPr>
        <w:t>Includes up to 2 User ID’s.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additional Product Type</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Available only to internal pipelines.</w:t>
      </w:r>
    </w:p>
    <w:p>
      <w:pPr>
        <w:pStyle w:val="Normal"/>
        <w:numPr>
          <w:ilvl w:val="0"/>
          <w:numId w:val="2"/>
        </w:numPr>
        <w:rPr>
          <w:rFonts w:ascii="Arial" w:hAnsi="Arial" w:cs="Arial"/>
          <w:color w:val="0000FF"/>
          <w:sz w:val="22"/>
        </w:rPr>
      </w:pPr>
      <w:r>
        <w:rPr>
          <w:rFonts w:cs="Arial" w:ascii="Arial" w:hAnsi="Arial"/>
          <w:color w:val="0000FF"/>
          <w:sz w:val="22"/>
        </w:rPr>
        <w:t>Pipelines must adhere to existing EnronOnline standard.</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$200,000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3 Product Types, 30 total Products and 2 User ID’s.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p>
    <w:p>
      <w:pPr>
        <w:pStyle w:val="Normal"/>
        <w:rPr>
          <w:rFonts w:ascii="Arial" w:hAnsi="Arial" w:cs="Arial"/>
          <w:sz w:val="22"/>
        </w:rPr>
      </w:pPr>
      <w:r>
        <w:rPr>
          <w:rFonts w:cs="Arial" w:ascii="Arial" w:hAnsi="Arial"/>
          <w:sz w:val="22"/>
        </w:rPr>
      </w:r>
    </w:p>
    <w:p>
      <w:pPr>
        <w:pStyle w:val="Heading2"/>
        <w:ind w:hanging="0" w:start="0"/>
        <w:rPr/>
      </w:pPr>
      <w:r>
        <w:rPr/>
        <w:t>Transaction Charge</w:t>
        <w:tab/>
        <w:tab/>
        <w:tab/>
        <w:t xml:space="preserve"> </w:t>
        <w:tab/>
        <w:tab/>
        <w:tab/>
        <w:tab/>
        <w:tab/>
        <w:t xml:space="preserve">        $40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per transaction</w:t>
      </w:r>
    </w:p>
    <w:p>
      <w:pPr>
        <w:pStyle w:val="Normal"/>
        <w:numPr>
          <w:ilvl w:val="0"/>
          <w:numId w:val="2"/>
        </w:numPr>
        <w:rPr>
          <w:rFonts w:ascii="Arial" w:hAnsi="Arial" w:cs="Arial"/>
          <w:sz w:val="22"/>
        </w:rPr>
      </w:pPr>
      <w:r>
        <w:rPr>
          <w:rFonts w:cs="Arial" w:ascii="Arial" w:hAnsi="Arial"/>
          <w:sz w:val="22"/>
        </w:rPr>
        <w:t>Charged on a monthly basis</w:t>
      </w:r>
    </w:p>
    <w:p>
      <w:pPr>
        <w:pStyle w:val="Heading2"/>
        <w:ind w:hanging="0" w:start="0"/>
        <w:rPr>
          <w:rFonts w:ascii="Arial" w:hAnsi="Arial" w:cs="Arial"/>
          <w:sz w:val="22"/>
        </w:rPr>
      </w:pPr>
      <w:r>
        <w:rPr>
          <w:rFonts w:cs="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pPr>
      <w:r>
        <w:rPr>
          <w:rFonts w:cs="Arial" w:ascii="Arial" w:hAnsi="Arial"/>
          <w:sz w:val="22"/>
        </w:rPr>
        <w:t xml:space="preserve">Charged on an annual basis along with the Basic Maintenance fee.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2001-01-29T13:55:00Z</dcterms:created>
  <dc:creator>DFORSTER</dc:creator>
  <dc:description/>
  <dc:language>en-CA</dc:language>
  <cp:lastModifiedBy>Carlos Alatorre</cp:lastModifiedBy>
  <cp:lastPrinted>2001-01-23T18:43:00Z</cp:lastPrinted>
  <dcterms:modified xsi:type="dcterms:W3CDTF">2001-01-29T14:02:00Z</dcterms:modified>
  <cp:revision>6</cp:revision>
  <dc:subject/>
  <dc:title>Note: For purposes of this analysis, the definition of Products means as per usual EnronOnline definition, but EXCLUDING tenors</dc:title>
</cp:coreProperties>
</file>