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July 16,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PIONEER NATURAL RESOURCES USA, INC.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2,918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FIELD NAME/COUNTY/STATE:      </w:t>
        <w:tab/>
        <w:tab/>
      </w:r>
      <w:r>
        <w:rPr>
          <w:rFonts w:eastAsia="Arial Narrow" w:cs="Arial Narrow" w:ascii="Arial Narrow" w:hAnsi="Arial Narrow"/>
          <w:sz w:val="20"/>
          <w:szCs w:val="20"/>
        </w:rPr>
        <w:t>/West Delta/Louisiana</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ab/>
        <w:t>So Timbalier Bay 21/LaFourche/Louisiana</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sz w:val="20"/>
          <w:szCs w:val="20"/>
        </w:rPr>
        <w:tab/>
        <w:tab/>
        <w:tab/>
        <w:tab/>
        <w:tab/>
        <w:t>/South Pass(South)/Louisiana</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West Delta #35 Subsea</w:t>
        <w:tab/>
        <w:tab/>
        <w:tab/>
        <w:t>011413 /Tennessee Gas Pipeline</w:t>
        <w:tab/>
        <w:tab/>
        <w:tab/>
        <w:t>100%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South Timbalier Bay 21</w:t>
        <w:tab/>
        <w:tab/>
        <w:tab/>
        <w:t>010442/Tennessee Gas Pipeline</w:t>
        <w:tab/>
        <w:tab/>
        <w:tab/>
        <w:t>100%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South Pass #78 Dehyd</w:t>
        <w:tab/>
        <w:tab/>
        <w:tab/>
        <w:t>011492/Tennessee Gas Pipeline</w:t>
        <w:tab/>
        <w:tab/>
        <w:tab/>
        <w:t>100%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Tennessee Gas Pipeline Company – Zone L 500 LN (Meter No.s 011413, 010442, and 011492)</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July 1, 2001 through July 31,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for the relevant gas day for “Tennessee 500” for each gas day in which deliveries occurred.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2001-07-16T12:57:00Z</dcterms:created>
  <dc:creator>ECT</dc:creator>
  <dc:description/>
  <dc:language>en-CA</dc:language>
  <cp:lastModifiedBy>gnemec</cp:lastModifiedBy>
  <cp:lastPrinted>2001-06-15T14:39:00Z</cp:lastPrinted>
  <dcterms:modified xsi:type="dcterms:W3CDTF">2001-07-16T13:17:00Z</dcterms:modified>
  <cp:revision>5</cp:revision>
  <dc:subject/>
  <dc:title>[ECT LETTERHEAD]</dc:title>
</cp:coreProperties>
</file>