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PUC DOCKET NO.  22834</w:t>
      </w:r>
    </w:p>
    <w:p>
      <w:pPr>
        <w:pStyle w:val="Normal"/>
        <w:rPr>
          <w:b/>
        </w:rPr>
      </w:pPr>
      <w:r>
        <w:rPr>
          <w:b/>
        </w:rPr>
      </w:r>
    </w:p>
    <w:p>
      <w:pPr>
        <w:pStyle w:val="Normal"/>
        <w:rPr>
          <w:b/>
        </w:rPr>
      </w:pPr>
      <w:r>
        <w:rPr>
          <w:b/>
        </w:rPr>
      </w:r>
    </w:p>
    <w:p>
      <w:pPr>
        <w:pStyle w:val="Normal"/>
        <w:ind w:hanging="3600" w:start="3600" w:end="0"/>
        <w:rPr>
          <w:b/>
        </w:rPr>
      </w:pPr>
      <w:r>
        <w:rPr>
          <w:b/>
        </w:rPr>
        <w:t>IMPLEMENTATION ACTIVITIES</w:t>
        <w:tab/>
        <w:t>§</w:t>
        <w:tab/>
        <w:t xml:space="preserve">PUBLIC UTILITY </w:t>
        <w:tab/>
      </w:r>
    </w:p>
    <w:p>
      <w:pPr>
        <w:pStyle w:val="Normal"/>
        <w:ind w:hanging="3600" w:start="3600" w:end="0"/>
        <w:rPr>
          <w:b/>
        </w:rPr>
      </w:pPr>
      <w:r>
        <w:rPr>
          <w:b/>
        </w:rPr>
        <w:t>RELATED TO RETAIL</w:t>
        <w:tab/>
        <w:tab/>
        <w:t>§</w:t>
        <w:tab/>
        <w:t>COMMISSION</w:t>
        <w:tab/>
        <w:tab/>
        <w:tab/>
      </w:r>
    </w:p>
    <w:p>
      <w:pPr>
        <w:pStyle w:val="Normal"/>
        <w:rPr>
          <w:b/>
        </w:rPr>
      </w:pPr>
      <w:r>
        <w:rPr>
          <w:b/>
        </w:rPr>
        <w:t>COMPEIITION PILOT PROJECTS</w:t>
        <w:tab/>
        <w:t>§</w:t>
        <w:tab/>
        <w:t>OF TEXAS</w:t>
      </w:r>
    </w:p>
    <w:p>
      <w:pPr>
        <w:pStyle w:val="Normal"/>
        <w:ind w:firstLine="720" w:start="3600" w:end="0"/>
        <w:rPr>
          <w:b/>
        </w:rPr>
      </w:pPr>
      <w:r>
        <w:rPr>
          <w:b/>
        </w:rPr>
        <w:t>§</w:t>
      </w:r>
    </w:p>
    <w:p>
      <w:pPr>
        <w:pStyle w:val="Normal"/>
        <w:spacing w:lineRule="auto" w:line="480"/>
        <w:ind w:firstLine="720" w:start="3600" w:end="0"/>
        <w:rPr>
          <w:b/>
        </w:rPr>
      </w:pPr>
      <w:r>
        <w:rPr>
          <w:b/>
        </w:rPr>
      </w:r>
    </w:p>
    <w:p>
      <w:pPr>
        <w:pStyle w:val="BodyTextIndent2"/>
        <w:ind w:hanging="0" w:start="2160" w:end="0"/>
        <w:rPr/>
      </w:pPr>
      <w:r>
        <w:rPr/>
        <w:t>ENRON ENERGY SERVICES’S PILOT STATUS REPORT PURSUANT TO PUC SUBSTANTIVE RULE 25.431(J)(3)(B)</w:t>
      </w:r>
    </w:p>
    <w:p>
      <w:pPr>
        <w:pStyle w:val="BodyTextIndent2"/>
        <w:ind w:hanging="0" w:start="2160" w:end="0"/>
        <w:rPr/>
      </w:pPr>
      <w:r>
        <w:rPr/>
      </w:r>
    </w:p>
    <w:p>
      <w:pPr>
        <w:pStyle w:val="Normal"/>
        <w:spacing w:lineRule="auto" w:line="480"/>
        <w:rPr/>
      </w:pPr>
      <w:r>
        <w:rPr/>
        <w:t>Enron Energy Services; Inc. (EES) provides this status report on pilot project implementation in compliance with PUC Subst. R. 25.431 (j) (3) (B). As a certified retail electric provider (REP), EES has participated in the pilot program of TXU Electric Company (TXU) since August 2001. EES is currently marketing to industrial customers in TXU’s territory, and has enrolled 3 customers and 12 accoounts. In accordance with the above referenced rule, EES hereby reports on technical problems encountered during the reporting period, including resolutions or proposed resolutions, as appropriate and supporting data, and complaints related to the pilot received during the reporting period, including a description of the resolutions of the complaints; and other information EES believes will assist the Commission in evaluating the pilot project and market readiness. A confidential justification report has been filed with the Commission via e-mail.</w:t>
      </w:r>
    </w:p>
    <w:p>
      <w:pPr>
        <w:pStyle w:val="Normal"/>
        <w:spacing w:lineRule="auto" w:line="480"/>
        <w:rPr/>
      </w:pPr>
      <w:r>
        <w:rPr/>
      </w:r>
    </w:p>
    <w:p>
      <w:pPr>
        <w:pStyle w:val="Normal"/>
        <w:numPr>
          <w:ilvl w:val="0"/>
          <w:numId w:val="9"/>
        </w:numPr>
        <w:spacing w:lineRule="auto" w:line="480"/>
        <w:jc w:val="center"/>
        <w:rPr>
          <w:b/>
          <w:bCs/>
        </w:rPr>
      </w:pPr>
      <w:r>
        <w:rPr>
          <w:b/>
          <w:bCs/>
        </w:rPr>
        <w:t>Technical Problems</w:t>
      </w:r>
    </w:p>
    <w:p>
      <w:pPr>
        <w:pStyle w:val="BodyTextIndent3"/>
        <w:rPr/>
      </w:pPr>
      <w:r>
        <w:rPr/>
        <w:t>Provide a summary of any technical problems encountered duting the reporting period, including resolutions or proposed resolutions, as appropriate and supporting data  (table follows).</w:t>
      </w:r>
    </w:p>
    <w:tbl>
      <w:tblPr>
        <w:tblW w:w="10098" w:type="dxa"/>
        <w:jc w:val="start"/>
        <w:tblInd w:w="0" w:type="dxa"/>
        <w:tblLayout w:type="fixed"/>
        <w:tblCellMar>
          <w:top w:w="0" w:type="dxa"/>
          <w:start w:w="108" w:type="dxa"/>
          <w:bottom w:w="0" w:type="dxa"/>
          <w:end w:w="108" w:type="dxa"/>
        </w:tblCellMar>
      </w:tblPr>
      <w:tblGrid>
        <w:gridCol w:w="3888"/>
        <w:gridCol w:w="3420"/>
        <w:gridCol w:w="2790"/>
      </w:tblGrid>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Technical Problem</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Resolutions or Proposed Resolutions</w:t>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Supporting Data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EDI Problems</w:t>
            </w:r>
          </w:p>
          <w:p>
            <w:pPr>
              <w:pStyle w:val="Normal"/>
              <w:numPr>
                <w:ilvl w:val="0"/>
                <w:numId w:val="2"/>
              </w:numPr>
              <w:spacing w:lineRule="atLeast" w:line="240"/>
              <w:ind w:hanging="360" w:start="720" w:end="0"/>
              <w:rPr>
                <w:color w:val="000000"/>
              </w:rPr>
            </w:pPr>
            <w:r>
              <w:rPr>
                <w:color w:val="000000"/>
              </w:rPr>
              <w:t>Lost Transactions including transactions never received</w:t>
            </w:r>
          </w:p>
          <w:p>
            <w:pPr>
              <w:pStyle w:val="Normal"/>
              <w:numPr>
                <w:ilvl w:val="0"/>
                <w:numId w:val="2"/>
              </w:numPr>
              <w:spacing w:lineRule="atLeast" w:line="240"/>
              <w:ind w:hanging="360" w:start="720" w:end="0"/>
              <w:rPr>
                <w:color w:val="000000"/>
              </w:rPr>
            </w:pPr>
            <w:r>
              <w:rPr>
                <w:color w:val="000000"/>
              </w:rPr>
              <w:t>Late Transactions</w:t>
            </w:r>
          </w:p>
          <w:p>
            <w:pPr>
              <w:pStyle w:val="Normal"/>
              <w:numPr>
                <w:ilvl w:val="0"/>
                <w:numId w:val="2"/>
              </w:numPr>
              <w:spacing w:lineRule="atLeast" w:line="240"/>
              <w:ind w:hanging="360" w:start="720" w:end="0"/>
              <w:rPr>
                <w:color w:val="000000"/>
              </w:rPr>
            </w:pPr>
            <w:r>
              <w:rPr>
                <w:color w:val="000000"/>
              </w:rPr>
              <w:t>Unmatched / Out of Sequence Transactions</w:t>
            </w:r>
          </w:p>
          <w:p>
            <w:pPr>
              <w:pStyle w:val="Normal"/>
              <w:numPr>
                <w:ilvl w:val="0"/>
                <w:numId w:val="2"/>
              </w:numPr>
              <w:spacing w:lineRule="atLeast" w:line="240"/>
              <w:ind w:hanging="360" w:start="720" w:end="0"/>
              <w:rPr>
                <w:color w:val="000000"/>
              </w:rPr>
            </w:pPr>
            <w:r>
              <w:rPr>
                <w:color w:val="000000"/>
              </w:rPr>
              <w:t>Other</w:t>
            </w:r>
          </w:p>
          <w:p>
            <w:pPr>
              <w:pStyle w:val="Normal"/>
              <w:numPr>
                <w:ilvl w:val="1"/>
                <w:numId w:val="8"/>
              </w:numPr>
              <w:spacing w:lineRule="atLeast" w:line="240"/>
              <w:rPr>
                <w:color w:val="000000"/>
              </w:rPr>
            </w:pPr>
            <w:r>
              <w:rPr>
                <w:color w:val="000000"/>
              </w:rPr>
              <w:t>Data Mapping</w:t>
            </w:r>
          </w:p>
          <w:p>
            <w:pPr>
              <w:pStyle w:val="Normal"/>
              <w:numPr>
                <w:ilvl w:val="1"/>
                <w:numId w:val="8"/>
              </w:numPr>
              <w:spacing w:lineRule="atLeast" w:line="240"/>
              <w:rPr>
                <w:color w:val="000000"/>
              </w:rPr>
            </w:pPr>
            <w:r>
              <w:rPr>
                <w:color w:val="000000"/>
              </w:rPr>
              <w:t>Duplicates</w:t>
            </w:r>
          </w:p>
          <w:p>
            <w:pPr>
              <w:pStyle w:val="Normal"/>
              <w:numPr>
                <w:ilvl w:val="1"/>
                <w:numId w:val="8"/>
              </w:numPr>
              <w:spacing w:lineRule="atLeast" w:line="240"/>
              <w:rPr>
                <w:color w:val="000000"/>
              </w:rPr>
            </w:pPr>
            <w:r>
              <w:rPr>
                <w:color w:val="000000"/>
              </w:rPr>
              <w:t>Data Quality</w:t>
            </w:r>
          </w:p>
          <w:p>
            <w:pPr>
              <w:pStyle w:val="Normal"/>
              <w:numPr>
                <w:ilvl w:val="1"/>
                <w:numId w:val="8"/>
              </w:numPr>
              <w:spacing w:lineRule="atLeast" w:line="240"/>
              <w:rPr>
                <w:color w:val="000000"/>
              </w:rPr>
            </w:pPr>
            <w:r>
              <w:rPr>
                <w:color w:val="000000"/>
              </w:rPr>
              <w:t>997</w:t>
            </w:r>
          </w:p>
          <w:p>
            <w:pPr>
              <w:pStyle w:val="Normal"/>
              <w:spacing w:lineRule="atLeast" w:line="240"/>
              <w:rPr>
                <w:color w:val="000000"/>
              </w:rPr>
            </w:pPr>
            <w:r>
              <w:rPr>
                <w:color w:val="000000"/>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numPr>
                <w:ilvl w:val="0"/>
                <w:numId w:val="4"/>
              </w:numPr>
              <w:spacing w:lineRule="atLeast" w:line="240"/>
              <w:rPr>
                <w:color w:val="000000"/>
              </w:rPr>
            </w:pPr>
            <w:r>
              <w:rPr>
                <w:color w:val="000000"/>
              </w:rPr>
              <w:t>Have been unsuccessful to date in obtaining.</w:t>
            </w:r>
          </w:p>
          <w:p>
            <w:pPr>
              <w:pStyle w:val="Normal"/>
              <w:numPr>
                <w:ilvl w:val="0"/>
                <w:numId w:val="4"/>
              </w:numPr>
              <w:spacing w:lineRule="atLeast" w:line="240"/>
              <w:rPr>
                <w:color w:val="000000"/>
              </w:rPr>
            </w:pPr>
            <w:r>
              <w:rPr>
                <w:color w:val="000000"/>
              </w:rPr>
              <w:t>Usually explainable as Ercot backlog</w:t>
            </w:r>
          </w:p>
          <w:p>
            <w:pPr>
              <w:pStyle w:val="Normal"/>
              <w:numPr>
                <w:ilvl w:val="0"/>
                <w:numId w:val="4"/>
              </w:numPr>
              <w:spacing w:lineRule="atLeast" w:line="240"/>
              <w:rPr>
                <w:color w:val="000000"/>
              </w:rPr>
            </w:pPr>
            <w:r>
              <w:rPr>
                <w:color w:val="000000"/>
              </w:rPr>
              <w:t>N/A</w:t>
            </w:r>
          </w:p>
          <w:p>
            <w:pPr>
              <w:pStyle w:val="Normal"/>
              <w:numPr>
                <w:ilvl w:val="0"/>
                <w:numId w:val="4"/>
              </w:numPr>
              <w:spacing w:lineRule="atLeast" w:line="240"/>
              <w:rPr>
                <w:color w:val="000000"/>
              </w:rPr>
            </w:pPr>
            <w:r>
              <w:rPr>
                <w:color w:val="000000"/>
              </w:rPr>
              <w:t>(a) Duplicate 997’s are being received from Ercot</w:t>
            </w:r>
          </w:p>
          <w:p>
            <w:pPr>
              <w:pStyle w:val="Normal"/>
              <w:spacing w:lineRule="atLeast" w:line="240"/>
              <w:rPr>
                <w:color w:val="000000"/>
              </w:rPr>
            </w:pPr>
            <w:r>
              <w:rPr>
                <w:color w:val="000000"/>
              </w:rPr>
              <w:t>(b) ISA qualifier and ID sent by Ercot are incorrect which caused us to have to manually intervene in p rocessing data and prevented us from returning FA’s.</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numPr>
                <w:ilvl w:val="0"/>
                <w:numId w:val="10"/>
              </w:numPr>
              <w:spacing w:lineRule="atLeast" w:line="240"/>
              <w:rPr>
                <w:color w:val="000000"/>
              </w:rPr>
            </w:pPr>
            <w:r>
              <w:rPr>
                <w:color w:val="000000"/>
              </w:rPr>
              <w:t xml:space="preserve">see 10312001pilotstatus.xls </w:t>
            </w:r>
          </w:p>
          <w:p>
            <w:pPr>
              <w:pStyle w:val="Normal"/>
              <w:numPr>
                <w:ilvl w:val="0"/>
                <w:numId w:val="10"/>
              </w:numPr>
              <w:spacing w:lineRule="atLeast" w:line="240"/>
              <w:rPr>
                <w:color w:val="000000"/>
              </w:rPr>
            </w:pPr>
            <w:r>
              <w:rPr>
                <w:color w:val="000000"/>
              </w:rPr>
              <w:t>see 10312001pilotstatus.xls</w:t>
            </w:r>
          </w:p>
          <w:p>
            <w:pPr>
              <w:pStyle w:val="Normal"/>
              <w:numPr>
                <w:ilvl w:val="0"/>
                <w:numId w:val="10"/>
              </w:numPr>
              <w:spacing w:lineRule="atLeast" w:line="240"/>
              <w:rPr>
                <w:color w:val="000000"/>
              </w:rPr>
            </w:pPr>
            <w:r>
              <w:rPr>
                <w:color w:val="000000"/>
              </w:rPr>
              <w:t>Have not received any 867’s to match to 810’s</w:t>
            </w:r>
          </w:p>
          <w:p>
            <w:pPr>
              <w:pStyle w:val="Normal"/>
              <w:numPr>
                <w:ilvl w:val="0"/>
                <w:numId w:val="10"/>
              </w:numPr>
              <w:spacing w:lineRule="atLeast" w:line="240"/>
              <w:rPr>
                <w:color w:val="000000"/>
              </w:rPr>
            </w:pPr>
            <w:r>
              <w:rPr>
                <w:color w:val="000000"/>
              </w:rPr>
              <w:t>(a) This is not a major issue as we are discarding duplicates.  But, it will clean up processing if we can get it resolved.           (b)  This was resolved after going through Ercot’s help desk</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Portal Issues</w:t>
            </w:r>
          </w:p>
          <w:p>
            <w:pPr>
              <w:pStyle w:val="Normal"/>
              <w:numPr>
                <w:ilvl w:val="0"/>
                <w:numId w:val="7"/>
              </w:numPr>
              <w:spacing w:lineRule="atLeast" w:line="240"/>
              <w:ind w:hanging="360" w:start="720" w:end="0"/>
              <w:rPr>
                <w:color w:val="000000"/>
              </w:rPr>
            </w:pPr>
            <w:r>
              <w:rPr>
                <w:color w:val="000000"/>
              </w:rPr>
              <w:t>Find Transactions</w:t>
            </w:r>
          </w:p>
          <w:p>
            <w:pPr>
              <w:pStyle w:val="Normal"/>
              <w:numPr>
                <w:ilvl w:val="0"/>
                <w:numId w:val="7"/>
              </w:numPr>
              <w:spacing w:lineRule="atLeast" w:line="240"/>
              <w:ind w:hanging="360" w:start="720" w:end="0"/>
              <w:rPr>
                <w:color w:val="000000"/>
              </w:rPr>
            </w:pPr>
            <w:r>
              <w:rPr>
                <w:color w:val="000000"/>
              </w:rPr>
              <w:t>Switch Completion</w:t>
            </w:r>
          </w:p>
          <w:p>
            <w:pPr>
              <w:pStyle w:val="Normal"/>
              <w:numPr>
                <w:ilvl w:val="0"/>
                <w:numId w:val="7"/>
              </w:numPr>
              <w:spacing w:lineRule="atLeast" w:line="240"/>
              <w:ind w:hanging="360" w:start="720" w:end="0"/>
              <w:rPr>
                <w:color w:val="000000"/>
              </w:rPr>
            </w:pPr>
            <w:r>
              <w:rPr>
                <w:color w:val="000000"/>
              </w:rPr>
              <w:t>Service Requests</w:t>
            </w:r>
          </w:p>
          <w:p>
            <w:pPr>
              <w:pStyle w:val="Normal"/>
              <w:numPr>
                <w:ilvl w:val="0"/>
                <w:numId w:val="7"/>
              </w:numPr>
              <w:spacing w:lineRule="atLeast" w:line="240"/>
              <w:ind w:hanging="360" w:start="720" w:end="0"/>
              <w:rPr>
                <w:color w:val="000000"/>
              </w:rPr>
            </w:pPr>
            <w:r>
              <w:rPr>
                <w:color w:val="000000"/>
              </w:rPr>
              <w:t>Data Extracts</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N/A</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Reliability</w:t>
            </w:r>
          </w:p>
          <w:p>
            <w:pPr>
              <w:pStyle w:val="Normal"/>
              <w:numPr>
                <w:ilvl w:val="0"/>
                <w:numId w:val="6"/>
              </w:numPr>
              <w:spacing w:lineRule="atLeast" w:line="240"/>
              <w:rPr>
                <w:color w:val="000000"/>
              </w:rPr>
            </w:pPr>
            <w:r>
              <w:rPr>
                <w:color w:val="000000"/>
              </w:rPr>
              <w:t>Outage</w:t>
            </w:r>
          </w:p>
          <w:p>
            <w:pPr>
              <w:pStyle w:val="Normal"/>
              <w:numPr>
                <w:ilvl w:val="0"/>
                <w:numId w:val="6"/>
              </w:numPr>
              <w:spacing w:lineRule="atLeast" w:line="240"/>
              <w:rPr>
                <w:color w:val="000000"/>
              </w:rPr>
            </w:pPr>
            <w:r>
              <w:rPr>
                <w:color w:val="000000"/>
              </w:rPr>
              <w:t>Connectivity</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Problem Resolution</w:t>
            </w:r>
          </w:p>
          <w:p>
            <w:pPr>
              <w:pStyle w:val="Normal"/>
              <w:numPr>
                <w:ilvl w:val="0"/>
                <w:numId w:val="5"/>
              </w:numPr>
              <w:spacing w:lineRule="atLeast" w:line="240"/>
              <w:rPr>
                <w:color w:val="000000"/>
              </w:rPr>
            </w:pPr>
            <w:r>
              <w:rPr>
                <w:color w:val="000000"/>
              </w:rPr>
              <w:t>Taylor Reconciliation Meetings</w:t>
            </w:r>
          </w:p>
          <w:p>
            <w:pPr>
              <w:pStyle w:val="Normal"/>
              <w:numPr>
                <w:ilvl w:val="0"/>
                <w:numId w:val="5"/>
              </w:numPr>
              <w:spacing w:lineRule="atLeast" w:line="240"/>
              <w:rPr>
                <w:color w:val="000000"/>
              </w:rPr>
            </w:pPr>
            <w:r>
              <w:rPr>
                <w:color w:val="000000"/>
              </w:rPr>
              <w:t>Manual Intervention / Workarounds</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Testing</w:t>
            </w:r>
          </w:p>
          <w:p>
            <w:pPr>
              <w:pStyle w:val="Normal"/>
              <w:numPr>
                <w:ilvl w:val="0"/>
                <w:numId w:val="11"/>
              </w:numPr>
              <w:spacing w:lineRule="atLeast" w:line="240"/>
              <w:rPr>
                <w:color w:val="000000"/>
              </w:rPr>
            </w:pPr>
            <w:r>
              <w:rPr>
                <w:color w:val="000000"/>
              </w:rPr>
              <w:t>Needed Transactions not Tested (e.g., 814-08)</w:t>
            </w:r>
          </w:p>
          <w:p>
            <w:pPr>
              <w:pStyle w:val="Normal"/>
              <w:numPr>
                <w:ilvl w:val="0"/>
                <w:numId w:val="11"/>
              </w:numPr>
              <w:spacing w:lineRule="atLeast" w:line="240"/>
              <w:rPr>
                <w:color w:val="000000"/>
              </w:rPr>
            </w:pPr>
            <w:r>
              <w:rPr>
                <w:color w:val="000000"/>
              </w:rPr>
              <w:t>Software Fixes not Adequately Tested (e.g., Encryption)</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Other</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r>
    </w:tbl>
    <w:p>
      <w:pPr>
        <w:pStyle w:val="Normal"/>
        <w:spacing w:lineRule="atLeast" w:line="240"/>
        <w:jc w:val="both"/>
        <w:rPr>
          <w:color w:val="000000"/>
        </w:rPr>
      </w:pPr>
      <w:r>
        <w:rPr>
          <w:color w:val="000000"/>
        </w:rPr>
      </w:r>
    </w:p>
    <w:p>
      <w:pPr>
        <w:pStyle w:val="Normal"/>
        <w:spacing w:lineRule="atLeast" w:line="240"/>
        <w:jc w:val="center"/>
        <w:rPr>
          <w:color w:val="000000"/>
        </w:rPr>
      </w:pPr>
      <w:r>
        <w:rPr>
          <w:color w:val="000000"/>
        </w:rPr>
      </w:r>
    </w:p>
    <w:p>
      <w:pPr>
        <w:pStyle w:val="Heading2"/>
        <w:numPr>
          <w:ilvl w:val="0"/>
          <w:numId w:val="3"/>
        </w:numPr>
        <w:ind w:hanging="0" w:start="0"/>
        <w:rPr/>
      </w:pPr>
      <w:r>
        <w:rPr/>
        <w:t>Complaints</w:t>
      </w:r>
    </w:p>
    <w:p>
      <w:pPr>
        <w:pStyle w:val="Normal"/>
        <w:spacing w:lineRule="atLeast" w:line="240"/>
        <w:jc w:val="center"/>
        <w:rPr>
          <w:b/>
          <w:bCs/>
          <w:color w:val="000000"/>
        </w:rPr>
      </w:pPr>
      <w:r>
        <w:rPr>
          <w:b/>
          <w:bCs/>
          <w:color w:val="000000"/>
        </w:rPr>
      </w:r>
    </w:p>
    <w:p>
      <w:pPr>
        <w:pStyle w:val="Normal"/>
        <w:spacing w:lineRule="auto" w:line="480"/>
        <w:rPr/>
      </w:pPr>
      <w:r>
        <w:rPr/>
        <w:t>Provide a summary of all complaints related to the pilot project received by the REP during the reporting period, including a description of the resolution of the complaints.</w:t>
      </w:r>
    </w:p>
    <w:p>
      <w:pPr>
        <w:pStyle w:val="Normal"/>
        <w:rPr>
          <w:b/>
        </w:rPr>
      </w:pPr>
      <w:r>
        <w:rPr>
          <w:b/>
        </w:rPr>
      </w:r>
    </w:p>
    <w:tbl>
      <w:tblPr>
        <w:tblW w:w="10098" w:type="dxa"/>
        <w:jc w:val="start"/>
        <w:tblInd w:w="0" w:type="dxa"/>
        <w:tblLayout w:type="fixed"/>
        <w:tblCellMar>
          <w:top w:w="0" w:type="dxa"/>
          <w:start w:w="108" w:type="dxa"/>
          <w:bottom w:w="0" w:type="dxa"/>
          <w:end w:w="108" w:type="dxa"/>
        </w:tblCellMar>
      </w:tblPr>
      <w:tblGrid>
        <w:gridCol w:w="3888"/>
        <w:gridCol w:w="3420"/>
        <w:gridCol w:w="2790"/>
      </w:tblGrid>
      <w:tr>
        <w:trPr/>
        <w:tc>
          <w:tcPr>
            <w:tcW w:w="3888" w:type="dxa"/>
            <w:tcBorders>
              <w:top w:val="single" w:sz="4" w:space="0" w:color="000000"/>
              <w:start w:val="single" w:sz="4" w:space="0" w:color="000000"/>
              <w:end w:val="single" w:sz="4" w:space="0" w:color="000000"/>
            </w:tcBorders>
            <w:shd w:fill="D8D8D8" w:val="clear"/>
          </w:tcPr>
          <w:p>
            <w:pPr>
              <w:pStyle w:val="Normal"/>
              <w:jc w:val="center"/>
              <w:rPr>
                <w:b/>
              </w:rPr>
            </w:pPr>
            <w:r>
              <w:rPr>
                <w:b/>
              </w:rPr>
              <w:t>Summary of Complaints</w:t>
            </w:r>
          </w:p>
          <w:p>
            <w:pPr>
              <w:pStyle w:val="Normal"/>
              <w:rPr>
                <w:b/>
              </w:rPr>
            </w:pPr>
            <w:r>
              <w:rPr>
                <w:b/>
              </w:rPr>
            </w:r>
          </w:p>
        </w:tc>
        <w:tc>
          <w:tcPr>
            <w:tcW w:w="3420" w:type="dxa"/>
            <w:tcBorders>
              <w:top w:val="single" w:sz="4" w:space="0" w:color="000000"/>
              <w:start w:val="single" w:sz="4" w:space="0" w:color="000000"/>
              <w:end w:val="single" w:sz="4" w:space="0" w:color="000000"/>
            </w:tcBorders>
            <w:shd w:fill="D8D8D8" w:val="clear"/>
          </w:tcPr>
          <w:p>
            <w:pPr>
              <w:pStyle w:val="Normal"/>
              <w:jc w:val="center"/>
              <w:rPr>
                <w:b/>
              </w:rPr>
            </w:pPr>
            <w:r>
              <w:rPr>
                <w:b/>
              </w:rPr>
              <w:t>Resolution</w:t>
            </w:r>
          </w:p>
        </w:tc>
        <w:tc>
          <w:tcPr>
            <w:tcW w:w="2790" w:type="dxa"/>
            <w:tcBorders>
              <w:top w:val="single" w:sz="4" w:space="0" w:color="000000"/>
              <w:start w:val="single" w:sz="4" w:space="0" w:color="000000"/>
              <w:end w:val="single" w:sz="4" w:space="0" w:color="000000"/>
            </w:tcBorders>
            <w:shd w:fill="D8D8D8" w:val="clear"/>
          </w:tcPr>
          <w:p>
            <w:pPr>
              <w:pStyle w:val="Normal"/>
              <w:jc w:val="center"/>
              <w:rPr>
                <w:b/>
              </w:rPr>
            </w:pPr>
            <w:r>
              <w:rPr>
                <w:b/>
              </w:rPr>
              <w:t>Comments</w:t>
            </w:r>
          </w:p>
        </w:tc>
      </w:tr>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Heading1"/>
              <w:ind w:hanging="0" w:start="0"/>
              <w:jc w:val="center"/>
              <w:rPr/>
            </w:pPr>
            <w:r>
              <w:rPr/>
              <w:t>CALL CENTERS</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r>
      <w:tr>
        <w:trPr/>
        <w:tc>
          <w:tcPr>
            <w:tcW w:w="3888" w:type="dxa"/>
            <w:tcBorders>
              <w:top w:val="single" w:sz="4" w:space="0" w:color="000000"/>
              <w:start w:val="single" w:sz="4" w:space="0" w:color="000000"/>
              <w:end w:val="single" w:sz="4" w:space="0" w:color="000000"/>
            </w:tcBorders>
          </w:tcPr>
          <w:p>
            <w:pPr>
              <w:pStyle w:val="Header"/>
              <w:tabs>
                <w:tab w:val="clear" w:pos="4320"/>
                <w:tab w:val="clear" w:pos="8640"/>
              </w:tabs>
              <w:rPr/>
            </w:pPr>
            <w:r>
              <w:rPr/>
              <w:t>SELF EXPLANATORY (e.g. Quality of Service, Billing, Cancellations, etc.)</w:t>
            </w:r>
          </w:p>
          <w:p>
            <w:pPr>
              <w:pStyle w:val="Normal"/>
              <w:rPr/>
            </w:pPr>
            <w:r>
              <w:rPr/>
            </w:r>
          </w:p>
          <w:p>
            <w:pPr>
              <w:pStyle w:val="Normal"/>
              <w:rPr/>
            </w:pPr>
            <w:r>
              <w:rPr/>
              <w:t>N/A</w:t>
            </w:r>
          </w:p>
        </w:tc>
        <w:tc>
          <w:tcPr>
            <w:tcW w:w="3420" w:type="dxa"/>
            <w:tcBorders>
              <w:top w:val="single" w:sz="4" w:space="0" w:color="000000"/>
              <w:start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Heading1"/>
              <w:ind w:hanging="0" w:start="0"/>
              <w:jc w:val="center"/>
              <w:rPr/>
            </w:pPr>
            <w:r>
              <w:rPr/>
              <w:t>PUCT COMPLAINTS</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ing2"/>
        <w:numPr>
          <w:ilvl w:val="0"/>
          <w:numId w:val="3"/>
        </w:numPr>
        <w:ind w:hanging="0" w:start="0"/>
        <w:rPr/>
      </w:pPr>
      <w:r>
        <w:rPr/>
        <w:t>Other Information</w:t>
      </w:r>
    </w:p>
    <w:p>
      <w:pPr>
        <w:pStyle w:val="Normal"/>
        <w:jc w:val="center"/>
        <w:rPr/>
      </w:pPr>
      <w:r>
        <w:rPr/>
      </w:r>
    </w:p>
    <w:p>
      <w:pPr>
        <w:pStyle w:val="Normal"/>
        <w:spacing w:lineRule="auto" w:line="480"/>
        <w:ind w:start="720" w:end="0"/>
        <w:jc w:val="both"/>
        <w:rPr/>
      </w:pPr>
      <w:r>
        <w:rPr/>
        <w:t>Provide any other information the REP believes will assist the commission in evaluating the pilot projects and the readiness of a power region for implementation of full customer choice.</w:t>
        <w:tab/>
      </w:r>
    </w:p>
    <w:p>
      <w:pPr>
        <w:pStyle w:val="Normal"/>
        <w:spacing w:lineRule="auto" w:line="480"/>
        <w:ind w:hanging="720" w:start="720" w:end="0"/>
        <w:rPr/>
      </w:pPr>
      <w:r>
        <w:rPr/>
      </w:r>
    </w:p>
    <w:tbl>
      <w:tblPr>
        <w:tblW w:w="10098" w:type="dxa"/>
        <w:jc w:val="start"/>
        <w:tblInd w:w="0" w:type="dxa"/>
        <w:tblLayout w:type="fixed"/>
        <w:tblCellMar>
          <w:top w:w="0" w:type="dxa"/>
          <w:start w:w="108" w:type="dxa"/>
          <w:bottom w:w="0" w:type="dxa"/>
          <w:end w:w="108" w:type="dxa"/>
        </w:tblCellMar>
      </w:tblPr>
      <w:tblGrid>
        <w:gridCol w:w="3888"/>
        <w:gridCol w:w="3420"/>
        <w:gridCol w:w="2790"/>
      </w:tblGrid>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Other Information</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Resolutions or Proposed Resolutions</w:t>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Comments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FREE FORM</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r>
    </w:tbl>
    <w:p>
      <w:pPr>
        <w:pStyle w:val="Normal"/>
        <w:rPr/>
      </w:pPr>
      <w:r>
        <w:rPr/>
      </w:r>
    </w:p>
    <w:p>
      <w:pPr>
        <w:pStyle w:val="BodyTextIndent3"/>
        <w:rPr/>
      </w:pPr>
      <w:r>
        <w:rPr/>
      </w:r>
    </w:p>
    <w:p>
      <w:pPr>
        <w:pStyle w:val="BodyTextIndent3"/>
        <w:rPr/>
      </w:pPr>
      <w:r>
        <w:rPr/>
      </w:r>
    </w:p>
    <w:p>
      <w:pPr>
        <w:pStyle w:val="BodyTextIndent3"/>
        <w:rPr/>
      </w:pPr>
      <w:r>
        <w:rPr/>
        <w:t>Enron commends the Commission on its commitment to electric competition in TX.</w:t>
      </w:r>
    </w:p>
    <w:p>
      <w:pPr>
        <w:pStyle w:val="BodyTextIndent3"/>
        <w:rPr/>
      </w:pPr>
      <w:r>
        <w:rPr/>
      </w:r>
    </w:p>
    <w:p>
      <w:pPr>
        <w:pStyle w:val="BodyTextIndent3"/>
        <w:jc w:val="center"/>
        <w:rPr/>
      </w:pPr>
      <w:r>
        <w:rPr/>
        <w:t>Respectfully submitted</w:t>
      </w:r>
    </w:p>
    <w:p>
      <w:pPr>
        <w:pStyle w:val="BodyTextIndent3"/>
        <w:jc w:val="center"/>
        <w:rPr/>
      </w:pPr>
      <w:r>
        <w:rPr/>
      </w:r>
    </w:p>
    <w:p>
      <w:pPr>
        <w:pStyle w:val="BodyTextIndent3"/>
        <w:jc w:val="center"/>
        <w:rPr/>
      </w:pPr>
      <w:r>
        <w:rPr/>
      </w:r>
    </w:p>
    <w:p>
      <w:pPr>
        <w:pStyle w:val="BodyTextIndent3"/>
        <w:jc w:val="center"/>
        <w:rPr/>
      </w:pPr>
      <w:r>
        <w:rPr/>
        <w:t>Gloria Ogenyi</w:t>
      </w:r>
    </w:p>
    <w:p>
      <w:pPr>
        <w:pStyle w:val="BodyTextIndent3"/>
        <w:jc w:val="center"/>
        <w:rPr/>
      </w:pPr>
      <w:r>
        <w:rPr/>
        <w:t>Director, Government Affairs</w:t>
      </w:r>
    </w:p>
    <w:p>
      <w:pPr>
        <w:pStyle w:val="BodyTextIndent3"/>
        <w:jc w:val="center"/>
        <w:rPr/>
      </w:pPr>
      <w:r>
        <w:rPr/>
        <w:t>Enron Corp.</w:t>
      </w:r>
    </w:p>
    <w:p>
      <w:pPr>
        <w:pStyle w:val="BodyTextIndent3"/>
        <w:jc w:val="center"/>
        <w:rPr/>
      </w:pPr>
      <w:r>
        <w:rPr/>
        <w:t>1400 Smith Street, EB 4744 A</w:t>
      </w:r>
    </w:p>
    <w:p>
      <w:pPr>
        <w:pStyle w:val="BodyTextIndent3"/>
        <w:jc w:val="center"/>
        <w:rPr/>
      </w:pPr>
      <w:r>
        <w:rPr/>
        <w:t>Houston, TX 77002</w:t>
      </w:r>
    </w:p>
    <w:p>
      <w:pPr>
        <w:pStyle w:val="BodyTextIndent3"/>
        <w:jc w:val="center"/>
        <w:rPr/>
      </w:pPr>
      <w:r>
        <w:rPr/>
        <w:t xml:space="preserve">Phone - 713-345-8202 </w:t>
      </w:r>
    </w:p>
    <w:p>
      <w:pPr>
        <w:pStyle w:val="BodyTextIndent3"/>
        <w:jc w:val="center"/>
        <w:rPr/>
      </w:pPr>
      <w:r>
        <w:rPr/>
        <w:t>Fax – 713-646-3409</w:t>
      </w:r>
    </w:p>
    <w:p>
      <w:pPr>
        <w:pStyle w:val="BodyTextIndent3"/>
        <w:jc w:val="center"/>
        <w:rPr/>
      </w:pPr>
      <w:r>
        <w:rPr/>
        <w:t xml:space="preserve"> </w:t>
      </w:r>
      <w:r>
        <w:rPr/>
        <w:t>gloria.ogenyi@enron.com</w:t>
      </w:r>
    </w:p>
    <w:p>
      <w:pPr>
        <w:pStyle w:val="BodyTextIndent3"/>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2"/>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numPr>
        <w:ilvl w:val="0"/>
        <w:numId w:val="3"/>
      </w:numPr>
      <w:spacing w:lineRule="atLeast" w:line="240"/>
      <w:jc w:val="center"/>
      <w:outlineLvl w:val="1"/>
    </w:pPr>
    <w:rPr>
      <w:b/>
      <w:bCs/>
      <w:color w:val="000000"/>
    </w:rPr>
  </w:style>
  <w:style w:type="character" w:styleId="WW8Num2z0">
    <w:name w:val="WW8Num2z0"/>
    <w:qFormat/>
    <w:rPr/>
  </w:style>
  <w:style w:type="character" w:styleId="WW8Num3z0">
    <w:name w:val="WW8Num3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jc w:val="center"/>
    </w:pPr>
    <w:rPr>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before="120" w:after="0"/>
      <w:ind w:firstLine="720" w:start="144" w:end="0"/>
    </w:pPr>
    <w:rPr>
      <w:b/>
    </w:rPr>
  </w:style>
  <w:style w:type="paragraph" w:styleId="BodyTextIndent2">
    <w:name w:val="Body Text Indent 2"/>
    <w:basedOn w:val="Normal"/>
    <w:qFormat/>
    <w:pPr>
      <w:spacing w:lineRule="auto" w:line="480"/>
      <w:ind w:firstLine="720" w:start="1440" w:end="0"/>
    </w:pPr>
    <w:rPr>
      <w:b/>
    </w:rPr>
  </w:style>
  <w:style w:type="paragraph" w:styleId="BodyTextIndent3">
    <w:name w:val="Body Text Indent 3"/>
    <w:basedOn w:val="Normal"/>
    <w:qFormat/>
    <w:pPr>
      <w:spacing w:lineRule="auto" w:line="48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2001-11-15T19:26:00Z</dcterms:created>
  <dc:creator>gogenyi</dc:creator>
  <dc:description/>
  <dc:language>en-CA</dc:language>
  <cp:lastModifiedBy>gogenyi</cp:lastModifiedBy>
  <dcterms:modified xsi:type="dcterms:W3CDTF">2001-11-16T13:56:00Z</dcterms:modified>
  <cp:revision>2</cp:revision>
  <dc:subject/>
  <dc:title>PUC DOCKET NO</dc:title>
</cp:coreProperties>
</file>