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630" w:end="0"/>
        <w:jc w:val="both"/>
        <w:rPr/>
      </w:pPr>
      <w:r>
        <w:rPr/>
      </w:r>
    </w:p>
    <w:p>
      <w:pPr>
        <w:pStyle w:val="Normal"/>
        <w:numPr>
          <w:ilvl w:val="0"/>
          <w:numId w:val="8"/>
        </w:numPr>
        <w:jc w:val="both"/>
        <w:rPr/>
      </w:pPr>
      <w:r>
        <w:rPr/>
        <w:t>Provide a summary of any technical problems encountered during the reporting period, including resolutions or proposed resolutions, as appropriate, and supporting data;</w:t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3420"/>
        <w:gridCol w:w="2790"/>
      </w:tblGrid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Technical Problem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Resolutions or Proposed Resolutions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Supporting Data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EDI Problems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Lost Transactions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Late Transactions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Unmatched / Out of Sequence Transactions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  <w:p>
            <w:pPr>
              <w:pStyle w:val="Normal"/>
              <w:numPr>
                <w:ilvl w:val="1"/>
                <w:numId w:val="7"/>
              </w:numPr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Data Mapping</w:t>
            </w:r>
          </w:p>
          <w:p>
            <w:pPr>
              <w:pStyle w:val="Normal"/>
              <w:numPr>
                <w:ilvl w:val="1"/>
                <w:numId w:val="7"/>
              </w:numPr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Duplicates</w:t>
            </w:r>
          </w:p>
          <w:p>
            <w:pPr>
              <w:pStyle w:val="Normal"/>
              <w:numPr>
                <w:ilvl w:val="1"/>
                <w:numId w:val="7"/>
              </w:numPr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Data Quality</w:t>
            </w:r>
          </w:p>
          <w:p>
            <w:pPr>
              <w:pStyle w:val="Normal"/>
              <w:numPr>
                <w:ilvl w:val="1"/>
                <w:numId w:val="7"/>
              </w:numPr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997</w:t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(Resolution)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(Not Applicable)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(etc.)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numPr>
                <w:ilvl w:val="0"/>
                <w:numId w:val="9"/>
              </w:numPr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(see Attachment 2, Measure X)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(Not Applicable)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(etc.)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Portal Issues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Find Transactions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Switch Completion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Service Requests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Data Extracts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Reliability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Outage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Connectivity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Problem Resolution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Taylor Reconciliation Meetings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Manual Intervention / Workarounds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Testing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Needed Transactions not Tested (e.g., 814-08)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left" w:pos="720" w:leader="none"/>
              </w:tabs>
              <w:spacing w:lineRule="atLeast" w:line="240"/>
              <w:ind w:hanging="360" w:start="720" w:end="0"/>
              <w:rPr>
                <w:color w:val="000000"/>
              </w:rPr>
            </w:pPr>
            <w:r>
              <w:rPr>
                <w:color w:val="000000"/>
              </w:rPr>
              <w:t>Software Fixes not Adequately Tested (e.g., Encryption)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lineRule="atLeast" w:line="24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8"/>
        </w:numPr>
        <w:rPr>
          <w:b/>
          <w:sz w:val="24"/>
        </w:rPr>
      </w:pPr>
      <w:r>
        <w:rPr/>
        <w:t>Provide a summary of all complaints related to the pilot project received by the REP during the reporting period, including a description of the resolution of the complaints.</w:t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3420"/>
        <w:gridCol w:w="2790"/>
      </w:tblGrid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Summary of Complaints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Resolution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CALL CENTERS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SELF EXPLANATORY (e.g. Quality of Service, Billing, Cancellations, etc.)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PUCT COMPLAINTS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(iii)</w:t>
        <w:tab/>
        <w:t>Provide any other information the REP believes will assist the commission in evaluating the pilot projects and the readiness of a power region for implementation of full customer choice.</w:t>
        <w:tab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3420"/>
        <w:gridCol w:w="2790"/>
      </w:tblGrid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Resolutions or Proposed Resolutions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FREE FORM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sz w:val="16"/>
      </w:rPr>
    </w:pPr>
    <w:r>
      <w:rPr>
        <w:sz w:val="16"/>
      </w:rPr>
      <w:t>PilotStatusReportTemplate1.doc</w:t>
      <w:tab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62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  <w:r>
      <w:rPr>
        <w:sz w:val="16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>PROJECT NO. 22834</w:t>
    </w:r>
  </w:p>
  <w:p>
    <w:pPr>
      <w:pStyle w:val="Header"/>
      <w:jc w:val="center"/>
      <w:rPr>
        <w:b/>
        <w:sz w:val="24"/>
      </w:rPr>
    </w:pPr>
    <w:r>
      <w:rPr>
        <w:b/>
        <w:sz w:val="24"/>
      </w:rPr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NAME OF REP Pilot Status Report Pursuant to SR 25.431(j)(3)(B)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 xml:space="preserve">October 31, 2001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lowerRoman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2z0">
    <w:name w:val="WW8Num2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2001-10-27T03:52:00Z</dcterms:created>
  <dc:creator>Darla Gray</dc:creator>
  <dc:description/>
  <dc:language>en-CA</dc:language>
  <cp:lastModifiedBy>Nancy Hetrick</cp:lastModifiedBy>
  <cp:lastPrinted>2001-10-11T08:15:00Z</cp:lastPrinted>
  <dcterms:modified xsi:type="dcterms:W3CDTF">2001-10-27T03:52:00Z</dcterms:modified>
  <cp:revision>2</cp:revision>
  <dc:subject/>
  <dc:title>1</dc:title>
</cp:coreProperties>
</file>