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28" w:type="dxa"/>
        <w:jc w:val="start"/>
        <w:tblInd w:w="0" w:type="dxa"/>
        <w:tblLayout w:type="fixed"/>
        <w:tblCellMar>
          <w:top w:w="0" w:type="dxa"/>
          <w:start w:w="108" w:type="dxa"/>
          <w:bottom w:w="0" w:type="dxa"/>
          <w:end w:w="108" w:type="dxa"/>
        </w:tblCellMar>
      </w:tblPr>
      <w:tblGrid>
        <w:gridCol w:w="2898"/>
        <w:gridCol w:w="6930"/>
      </w:tblGrid>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Buyer:</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t>Buyer</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Seller:</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t>Lincoln Center LLC (“Lincoln”), Wheatland LLC (“Wheatland”), Gleason LLC (“Gleason”)</w:t>
            </w:r>
          </w:p>
          <w:p>
            <w:pPr>
              <w:pStyle w:val="Normal"/>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Transaction Description:</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t xml:space="preserve">Buyer shall  (1) pay monthly fees and charges for the right to receive certain fixed quantities of firm Energy and (2) upon Buyer’s request, Seller shall effectuate the delivery of fixed quantities of natural gas “Gas” at specified Gas delivery points (each a “Gas Delivery Point”) </w:t>
            </w:r>
          </w:p>
          <w:p>
            <w:pPr>
              <w:pStyle w:val="Normal"/>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Term:</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t>September 1, 2000  through June 30, 2004 as follows:</w:t>
            </w:r>
          </w:p>
          <w:p>
            <w:pPr>
              <w:pStyle w:val="Normal"/>
              <w:rPr/>
            </w:pPr>
            <w:r>
              <w:rPr/>
            </w:r>
          </w:p>
          <w:p>
            <w:pPr>
              <w:pStyle w:val="Normal"/>
              <w:rPr/>
            </w:pPr>
            <w:r>
              <w:rPr/>
              <w:t>July, August  2001,  July, August 2002,  July, August 2003</w:t>
            </w:r>
          </w:p>
          <w:p>
            <w:pPr>
              <w:pStyle w:val="Normal"/>
              <w:rPr/>
            </w:pPr>
            <w:r>
              <w:rPr/>
              <w:t>Saturdays and Sunday Only, Excluding NERC Holidays, Central Prevailing Time</w:t>
            </w:r>
          </w:p>
          <w:p>
            <w:pPr>
              <w:pStyle w:val="Normal"/>
              <w:rPr/>
            </w:pPr>
            <w:r>
              <w:rPr/>
            </w:r>
          </w:p>
          <w:p>
            <w:pPr>
              <w:pStyle w:val="Normal"/>
              <w:rPr/>
            </w:pPr>
            <w:r>
              <w:rPr/>
              <w:t xml:space="preserve">September 1  through December 2000, </w:t>
            </w:r>
          </w:p>
          <w:p>
            <w:pPr>
              <w:pStyle w:val="Normal"/>
              <w:rPr/>
            </w:pPr>
            <w:r>
              <w:rPr/>
              <w:t>January through June 2001, September through December 2001</w:t>
            </w:r>
          </w:p>
          <w:p>
            <w:pPr>
              <w:pStyle w:val="Normal"/>
              <w:rPr/>
            </w:pPr>
            <w:r>
              <w:rPr/>
              <w:t>January through June 2002, September through December 2002</w:t>
            </w:r>
          </w:p>
          <w:p>
            <w:pPr>
              <w:pStyle w:val="Normal"/>
              <w:rPr/>
            </w:pPr>
            <w:r>
              <w:rPr/>
              <w:t>January through December 2003</w:t>
            </w:r>
          </w:p>
          <w:p>
            <w:pPr>
              <w:pStyle w:val="Normal"/>
              <w:rPr/>
            </w:pPr>
            <w:r>
              <w:rPr/>
              <w:t>January through June 30, 2004</w:t>
            </w:r>
          </w:p>
          <w:p>
            <w:pPr>
              <w:pStyle w:val="Normal"/>
              <w:rPr/>
            </w:pPr>
            <w:r>
              <w:rPr/>
              <w:t>Monday through Sunday, Excluding NERC Holidays, Central Prevailing Time</w:t>
            </w:r>
          </w:p>
          <w:p>
            <w:pPr>
              <w:pStyle w:val="Normal"/>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Energy Quantity:</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t xml:space="preserve">Seller shall deliver and Buyer shall receive, firm quantities of energy at each Energy Delivery Point the amount of firm energy Buyer requests up to a maximum hourly quantity at each Energy Delivery Point ( the “Energy Hourly Quantity”).  </w:t>
            </w:r>
          </w:p>
          <w:p>
            <w:pPr>
              <w:pStyle w:val="Normal"/>
              <w:rPr/>
            </w:pPr>
            <w:r>
              <w:rPr/>
            </w:r>
          </w:p>
          <w:p>
            <w:pPr>
              <w:pStyle w:val="Normal"/>
              <w:rPr/>
            </w:pPr>
            <w:r>
              <w:rPr/>
              <w:t>Maximum Hourly Quantities:</w:t>
            </w:r>
          </w:p>
          <w:p>
            <w:pPr>
              <w:pStyle w:val="Normal"/>
              <w:rPr/>
            </w:pPr>
            <w:r>
              <w:rPr/>
              <w:t xml:space="preserve">Lincoln: </w:t>
              <w:tab/>
              <w:tab/>
              <w:t>up to 600 MW</w:t>
            </w:r>
          </w:p>
          <w:p>
            <w:pPr>
              <w:pStyle w:val="Normal"/>
              <w:rPr/>
            </w:pPr>
            <w:r>
              <w:rPr/>
              <w:t xml:space="preserve">Wheatland: </w:t>
              <w:tab/>
              <w:tab/>
              <w:t>up to 450 MW</w:t>
            </w:r>
          </w:p>
          <w:p>
            <w:pPr>
              <w:pStyle w:val="Normal"/>
              <w:rPr/>
            </w:pPr>
            <w:r>
              <w:rPr/>
              <w:t>Gleason :</w:t>
              <w:tab/>
              <w:tab/>
              <w:t>up to 500 MW</w:t>
            </w:r>
          </w:p>
          <w:p>
            <w:pPr>
              <w:pStyle w:val="Normal"/>
              <w:rPr/>
            </w:pPr>
            <w:r>
              <w:rPr/>
            </w:r>
          </w:p>
          <w:p>
            <w:pPr>
              <w:pStyle w:val="Normal"/>
              <w:rPr/>
            </w:pPr>
            <w:r>
              <w:rPr/>
              <w:t xml:space="preserve">All requests for energy at the Energy Delivery Points shall be scheduled in multiples of  50 MW of firm energy per hour. </w:t>
            </w:r>
          </w:p>
          <w:p>
            <w:pPr>
              <w:pStyle w:val="Normal"/>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Gas Quantity:</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t>For each MWh of Energy Hourly Quantity, Seller shall effectuate the delivery of a corresponding quantitiy of Gas equal to:</w:t>
            </w:r>
          </w:p>
          <w:p>
            <w:pPr>
              <w:pStyle w:val="Normal"/>
              <w:rPr/>
            </w:pPr>
            <w:r>
              <w:rPr/>
              <w:t>Energy Hourly Quantity x 11.5 MMBtu/MWh</w:t>
            </w:r>
          </w:p>
          <w:p>
            <w:pPr>
              <w:pStyle w:val="Normal"/>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Energy Price</w:t>
            </w:r>
          </w:p>
        </w:tc>
        <w:tc>
          <w:tcPr>
            <w:tcW w:w="69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For each MWh of Energy Hourly Quantity, Buyer shall pay:</w:t>
            </w:r>
          </w:p>
          <w:p>
            <w:pPr>
              <w:pStyle w:val="Header"/>
              <w:tabs>
                <w:tab w:val="clear" w:pos="4320"/>
                <w:tab w:val="clear" w:pos="8640"/>
              </w:tabs>
              <w:rPr/>
            </w:pPr>
            <w:r>
              <w:rPr/>
              <w:t>Energy Hourly Quantity x 11.5 MMBtu/MWh x Gas Price + $2.50/MWh</w:t>
            </w:r>
          </w:p>
          <w:p>
            <w:pPr>
              <w:pStyle w:val="Header"/>
              <w:tabs>
                <w:tab w:val="clear" w:pos="4320"/>
                <w:tab w:val="clear" w:pos="8640"/>
              </w:tabs>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Gas Price</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t xml:space="preserve">Lincoln: </w:t>
              <w:tab/>
              <w:t xml:space="preserve">Summer, </w:t>
              <w:tab/>
              <w:t>Chicago City Gate Daily +  $0.10</w:t>
            </w:r>
          </w:p>
          <w:p>
            <w:pPr>
              <w:pStyle w:val="Normal"/>
              <w:rPr/>
            </w:pPr>
            <w:r>
              <w:rPr/>
              <w:tab/>
              <w:tab/>
              <w:t xml:space="preserve">Winter, </w:t>
              <w:tab/>
              <w:tab/>
              <w:t>Chicago City Gate Daily + $0.25</w:t>
            </w:r>
          </w:p>
          <w:p>
            <w:pPr>
              <w:pStyle w:val="Normal"/>
              <w:rPr/>
            </w:pPr>
            <w:r>
              <w:rPr/>
              <w:t>Wheatland:</w:t>
              <w:tab/>
              <w:t xml:space="preserve">Summer; </w:t>
              <w:tab/>
              <w:t>Tennessee 500 Leg + $0.25</w:t>
            </w:r>
          </w:p>
          <w:p>
            <w:pPr>
              <w:pStyle w:val="Normal"/>
              <w:rPr/>
            </w:pPr>
            <w:r>
              <w:rPr/>
              <w:tab/>
              <w:tab/>
              <w:t xml:space="preserve">Winter; </w:t>
              <w:tab/>
              <w:tab/>
              <w:t>Chicago City Gate Daily + $0.25</w:t>
            </w:r>
          </w:p>
          <w:p>
            <w:pPr>
              <w:pStyle w:val="Normal"/>
              <w:rPr/>
            </w:pPr>
            <w:r>
              <w:rPr/>
              <w:t>Gleason:</w:t>
              <w:tab/>
              <w:tab/>
              <w:t xml:space="preserve">Summer, </w:t>
              <w:tab/>
              <w:t>ANR SE + $0.15</w:t>
            </w:r>
          </w:p>
          <w:p>
            <w:pPr>
              <w:pStyle w:val="Normal"/>
              <w:rPr/>
            </w:pPr>
            <w:r>
              <w:rPr/>
              <w:tab/>
              <w:tab/>
              <w:t xml:space="preserve">Winter, </w:t>
              <w:tab/>
              <w:tab/>
              <w:t>Columbia Gas Appalachia +$0.25</w:t>
            </w:r>
          </w:p>
          <w:p>
            <w:pPr>
              <w:pStyle w:val="Normal"/>
              <w:rPr/>
            </w:pPr>
            <w:r>
              <w:rPr/>
            </w:r>
          </w:p>
        </w:tc>
      </w:tr>
    </w:tbl>
    <w:p>
      <w:pPr>
        <w:pStyle w:val="Normal"/>
        <w:rPr/>
      </w:pPr>
      <w:r>
        <w:br w:type="page"/>
      </w:r>
      <w:r>
        <w:rPr/>
      </w:r>
    </w:p>
    <w:tbl>
      <w:tblPr>
        <w:tblW w:w="9828" w:type="dxa"/>
        <w:jc w:val="start"/>
        <w:tblInd w:w="0" w:type="dxa"/>
        <w:tblLayout w:type="fixed"/>
        <w:tblCellMar>
          <w:top w:w="0" w:type="dxa"/>
          <w:start w:w="108" w:type="dxa"/>
          <w:bottom w:w="0" w:type="dxa"/>
          <w:end w:w="108" w:type="dxa"/>
        </w:tblCellMar>
      </w:tblPr>
      <w:tblGrid>
        <w:gridCol w:w="2898"/>
        <w:gridCol w:w="6930"/>
      </w:tblGrid>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Energy Delivery Points:</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i/>
              </w:rPr>
              <w:t>Lincoln</w:t>
            </w:r>
            <w:r>
              <w:rPr/>
              <w:t>:</w:t>
              <w:tab/>
            </w:r>
          </w:p>
          <w:p>
            <w:pPr>
              <w:pStyle w:val="Normal"/>
              <w:rPr/>
            </w:pPr>
            <w:r>
              <w:rPr/>
              <w:t>The proposed Lincoln Center Control Area including the Wilton Center Substation on ComEd’s 345 Kv transmission system</w:t>
            </w:r>
          </w:p>
          <w:p>
            <w:pPr>
              <w:pStyle w:val="Normal"/>
              <w:rPr/>
            </w:pPr>
            <w:r>
              <w:rPr>
                <w:i/>
              </w:rPr>
              <w:t>Wheatland</w:t>
            </w:r>
            <w:r>
              <w:rPr/>
              <w:t xml:space="preserve">: </w:t>
            </w:r>
          </w:p>
          <w:p>
            <w:pPr>
              <w:pStyle w:val="Normal"/>
              <w:rPr/>
            </w:pPr>
            <w:r>
              <w:rPr/>
              <w:t>The proposed Wheatland Control Area including the Breed Line Substation on Cinergy’s 345 Kv transmission system</w:t>
            </w:r>
          </w:p>
          <w:p>
            <w:pPr>
              <w:pStyle w:val="Normal"/>
              <w:rPr/>
            </w:pPr>
            <w:r>
              <w:rPr>
                <w:i/>
              </w:rPr>
              <w:t>Gleason</w:t>
            </w:r>
            <w:r>
              <w:rPr/>
              <w:t xml:space="preserve">: </w:t>
            </w:r>
          </w:p>
          <w:p>
            <w:pPr>
              <w:pStyle w:val="Normal"/>
              <w:rPr/>
            </w:pPr>
            <w:r>
              <w:rPr/>
              <w:t>The proposed Gleason Control Area including the Gleason Substation on TVA’s Johnsonville – Weakly 500Kv transmission system.</w:t>
            </w:r>
          </w:p>
          <w:p>
            <w:pPr>
              <w:pStyle w:val="Normal"/>
              <w:rPr/>
            </w:pPr>
            <w:r>
              <w:rPr/>
            </w:r>
          </w:p>
          <w:p>
            <w:pPr>
              <w:pStyle w:val="Normal"/>
              <w:rPr/>
            </w:pPr>
            <w:r>
              <w:rPr/>
              <w:t>Or other Energy Delivery Points as mutually agreed to by the parties</w:t>
            </w:r>
          </w:p>
          <w:p>
            <w:pPr>
              <w:pStyle w:val="Normal"/>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Gas Delivery Points:</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t xml:space="preserve">Lincoln: </w:t>
              <w:tab/>
              <w:t xml:space="preserve">Wilton Center metering station on Northern Border and/or ANR </w:t>
              <w:tab/>
              <w:tab/>
              <w:t>Pipeline</w:t>
            </w:r>
          </w:p>
          <w:p>
            <w:pPr>
              <w:pStyle w:val="Normal"/>
              <w:rPr/>
            </w:pPr>
            <w:r>
              <w:rPr/>
              <w:t xml:space="preserve">Wheatland: </w:t>
              <w:tab/>
              <w:t>Wheatland metering station on Midwestern Gas Transmission</w:t>
            </w:r>
          </w:p>
          <w:p>
            <w:pPr>
              <w:pStyle w:val="Normal"/>
              <w:rPr/>
            </w:pPr>
            <w:r>
              <w:rPr/>
              <w:t xml:space="preserve">Gleason: </w:t>
              <w:tab/>
              <w:t>Gleason Metering Station on ANR Pipeline</w:t>
            </w:r>
          </w:p>
          <w:p>
            <w:pPr>
              <w:pStyle w:val="Normal"/>
              <w:rPr/>
            </w:pPr>
            <w:r>
              <w:rPr/>
            </w:r>
          </w:p>
          <w:p>
            <w:pPr>
              <w:pStyle w:val="Normal"/>
              <w:rPr/>
            </w:pPr>
            <w:r>
              <w:rPr/>
              <w:t>Or other Gas Delivery Point as mutually agreed to by the parties</w:t>
            </w:r>
          </w:p>
          <w:p>
            <w:pPr>
              <w:pStyle w:val="Normal"/>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Demand Charge:</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t>$ _____ Monthly Payment</w:t>
            </w:r>
          </w:p>
          <w:p>
            <w:pPr>
              <w:pStyle w:val="Normal"/>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Scheduling &amp; Dispatch:</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t xml:space="preserve">Daily call to be exercised by 9:00 a.m. CPT the business day prior to delivery with scheduling to be completed by 11:00 a.m. CPT the business day prior to delivery. </w:t>
            </w:r>
          </w:p>
          <w:p>
            <w:pPr>
              <w:pStyle w:val="Normal"/>
              <w:rPr/>
            </w:pPr>
            <w:r>
              <w:rPr/>
              <w:t xml:space="preserve">Energy may only be scheduled in 50 MW blocks, and only for the entire 16 hour period HE 0700 to HE2200.  </w:t>
            </w:r>
          </w:p>
          <w:p>
            <w:pPr>
              <w:pStyle w:val="Normal"/>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Performance Requirements</w:t>
            </w:r>
          </w:p>
        </w:tc>
        <w:tc>
          <w:tcPr>
            <w:tcW w:w="6930" w:type="dxa"/>
            <w:tcBorders>
              <w:top w:val="single" w:sz="4" w:space="0" w:color="000000"/>
              <w:start w:val="single" w:sz="4" w:space="0" w:color="000000"/>
              <w:bottom w:val="single" w:sz="4" w:space="0" w:color="000000"/>
              <w:end w:val="single" w:sz="4" w:space="0" w:color="000000"/>
            </w:tcBorders>
          </w:tcPr>
          <w:p>
            <w:pPr>
              <w:pStyle w:val="Normal"/>
              <w:rPr/>
            </w:pPr>
            <w:r>
              <w:rPr/>
              <w:t>95% summer, 90% winter availability.  Market based LD coverage for non performance.</w:t>
            </w:r>
          </w:p>
        </w:tc>
      </w:tr>
    </w:tbl>
    <w:p>
      <w:pPr>
        <w:pStyle w:val="Normal"/>
        <w:rPr/>
      </w:pPr>
      <w:r>
        <w:rPr/>
      </w:r>
    </w:p>
    <w:p>
      <w:pPr>
        <w:pStyle w:val="Normal"/>
        <w:rPr/>
      </w:pPr>
      <w:r>
        <w:rPr>
          <w:rFonts w:cs="Tms Rmn" w:ascii="Tms Rmn" w:hAnsi="Tms Rmn"/>
          <w:b/>
          <w:i/>
          <w:color w:val="000000"/>
          <w:lang w:eastAsia="en-US"/>
        </w:rPr>
        <w:t>THIS PROPOSAL DOES NOT CONTAIN ALL MATTERS UPON WHICH AGREEMENT MUST BE REACHED IN ORDER FOR THE TRANSACTIONS TO BE COMPLETED. THIS PROPOSAL: (1) IS MERELY INTENDED TO EXPRESS THE DESIRE TO NEGOTIATE A TRANSACTION THAT MAY BE FINALIZED IN WRITTEN AGREEMENT AT A FUTURE TIME; (2) DOES NOT CREATE AND IS NOT INTENDED TO CREATE A BINDING AND ENFORCEABLE OFFER OR</w:t>
      </w:r>
      <w:r>
        <w:rPr>
          <w:rFonts w:cs="Tms Rmn" w:ascii="Tms Rmn" w:hAnsi="Tms Rmn"/>
          <w:i/>
          <w:color w:val="000000"/>
          <w:lang w:eastAsia="en-US"/>
        </w:rPr>
        <w:t xml:space="preserve"> </w:t>
      </w:r>
      <w:r>
        <w:rPr>
          <w:rFonts w:cs="Tms Rmn" w:ascii="Tms Rmn" w:hAnsi="Tms Rmn"/>
          <w:b/>
          <w:i/>
          <w:color w:val="000000"/>
          <w:lang w:eastAsia="en-US"/>
        </w:rPr>
        <w:t>COMMITMENT OF BUYER, SELLER OR ANY OF THEIR AFFILIATES TO ENTER INTO ANY TRANSACTION AND (3) MAY NOT BE RELIED UPON BY A PARTY AS THE BASIS FOR A CONTRACT BY ESTOPPEL OR OTHERWISE. A BINDING COMMITMENT WITH RESPECT TO THIS PROPOSAL CAN ONLY RESULT FROM THE EXECUTION OF A DEFINITIVE WRITTEN AGREEMENT BY BOTH PARTIES. NO ACTIONS ON THE PART OF EITHER PARTY SHALL BE DEEMED TO RENDER THIS PROPOSAL A BINDING OBLIGATION WITH RESPECT TO THE SUBJECT MATTER HEREOF.</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8"/>
        <w:u w:val="single"/>
      </w:rPr>
      <w:t>Physical Power Purchase Term Sheet</w:t>
    </w:r>
    <w:r>
      <w:rPr/>
      <w:tab/>
      <w:t>Priveleged and Confidential</w:t>
    </w:r>
  </w:p>
  <w:p>
    <w:pPr>
      <w:pStyle w:val="Header"/>
      <w:rPr/>
    </w:pPr>
    <w:r>
      <w:rPr/>
      <w:tab/>
      <w:tab/>
      <w:t>For Discussion Purposes Only</w:t>
    </w:r>
  </w:p>
  <w:p>
    <w:pPr>
      <w:pStyle w:val="Header"/>
      <w:rPr/>
    </w:pPr>
    <w:r>
      <w:rPr/>
      <w:tab/>
      <w:tab/>
    </w:r>
    <w:r>
      <w:rPr/>
      <w:fldChar w:fldCharType="begin"/>
    </w:r>
    <w:r>
      <w:rPr/>
      <w:instrText xml:space="preserve"> DATE \@"MM\/dd\/yy" </w:instrText>
    </w:r>
    <w:r>
      <w:rPr/>
      <w:fldChar w:fldCharType="separate"/>
    </w:r>
    <w:r>
      <w:rPr/>
      <w:t>09/28/25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1999-12-08T22:27:00Z</dcterms:created>
  <dc:creator>rmalcol</dc:creator>
  <dc:description/>
  <dc:language>en-CA</dc:language>
  <cp:lastModifiedBy>rmalcol</cp:lastModifiedBy>
  <cp:lastPrinted>1999-12-13T10:50:00Z</cp:lastPrinted>
  <dcterms:modified xsi:type="dcterms:W3CDTF">1999-12-13T14:27:00Z</dcterms:modified>
  <cp:revision>57</cp:revision>
  <dc:subject/>
  <dc:title>Power Purchase Term Sheet</dc:title>
</cp:coreProperties>
</file>