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October 29, 2001 POP UP BOX on EnronOnline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Upon User Logon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Effective as of </w:t>
      </w:r>
      <w:r>
        <w:rPr>
          <w:rFonts w:cs="Arial" w:ascii="Arial" w:hAnsi="Arial"/>
          <w:b/>
          <w:bCs/>
        </w:rPr>
        <w:t>November 5, 2001</w:t>
      </w:r>
      <w:r>
        <w:rPr>
          <w:rFonts w:cs="Arial" w:ascii="Arial" w:hAnsi="Arial"/>
        </w:rPr>
        <w:t>, the General Terms and Conditions (“GTC”) governing all North American physical natural gas transactions (“Physicals”) effectuated on EnronOnline will be modified.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All Counterparties’ not having a Master Agreement governing Physicals will be required to accept the revised GTC in order to continue transacting in these Physicals.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 brief summary of the more significant revisions follows: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Amendments due to the sale of Houston Pipe Line Company (“HPL”) by Enron (as currently indicated in the Product Long Description)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Deleting the intrastate warranties section due to the sale of HPL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Updating the publisher of Gas Daily to Platts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With respect to Canadian natural gas transactions, updating the Securities Representations section to reflect establishment of final orders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To review the actual revisions, please </w:t>
      </w:r>
      <w:r>
        <w:rPr>
          <w:rFonts w:cs="Arial" w:ascii="Arial" w:hAnsi="Arial"/>
          <w:color w:val="0000FF"/>
          <w:u w:val="single"/>
        </w:rPr>
        <w:t>click here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  <w:bCs/>
        </w:rPr>
        <w:t>[Link will have redlined versions of the Spot GTC and Firm GTC attached as Word documents directly below]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object w:dxaOrig="1440" w:dyaOrig="112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2pt;height:56.25pt" filled="f" o:ole="">
            <v:imagedata r:id="rId3" o:title=""/>
          </v:shape>
          <o:OLEObject Type="Embed" ProgID="" ShapeID="ole_rId2" DrawAspect="Content" ObjectID="_1432076386" r:id="rId2"/>
        </w:objec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object w:dxaOrig="1440" w:dyaOrig="112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72pt;height:56.25pt" filled="f" o:ole="">
            <v:imagedata r:id="rId5" o:title=""/>
          </v:shape>
          <o:OLEObject Type="Embed" ProgID="" ShapeID="ole_rId4" DrawAspect="Content" ObjectID="_1136914595" r:id="rId4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2001-10-25T17:34:00Z</dcterms:created>
  <dc:creator>llees</dc:creator>
  <dc:description/>
  <dc:language>en-CA</dc:language>
  <cp:lastModifiedBy>llees</cp:lastModifiedBy>
  <cp:lastPrinted>2001-10-25T15:30:00Z</cp:lastPrinted>
  <dcterms:modified xsi:type="dcterms:W3CDTF">2001-10-25T18:18:00Z</dcterms:modified>
  <cp:revision>2</cp:revision>
  <dc:subject/>
  <dc:title>October 29, 2001 POP UP BOX on EnronOnline</dc:title>
</cp:coreProperties>
</file>