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540" w:type="dxa"/>
        <w:jc w:val="start"/>
        <w:tblInd w:w="-432" w:type="dxa"/>
        <w:tblLayout w:type="fixed"/>
        <w:tblCellMar>
          <w:top w:w="0" w:type="dxa"/>
          <w:start w:w="108" w:type="dxa"/>
          <w:bottom w:w="0" w:type="dxa"/>
          <w:end w:w="108" w:type="dxa"/>
        </w:tblCellMar>
      </w:tblPr>
      <w:tblGrid>
        <w:gridCol w:w="1440"/>
        <w:gridCol w:w="990"/>
        <w:gridCol w:w="1440"/>
        <w:gridCol w:w="2790"/>
        <w:gridCol w:w="1620"/>
        <w:gridCol w:w="2700"/>
        <w:gridCol w:w="4050"/>
        <w:gridCol w:w="3510"/>
      </w:tblGrid>
      <w:tr>
        <w:trPr/>
        <w:tc>
          <w:tcPr>
            <w:tcW w:w="1854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540" w:type="dxa"/>
            <w:gridSpan w:val="8"/>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2520" w:leader="none"/>
                <w:tab w:val="left" w:pos="2700" w:leader="none"/>
              </w:tabs>
              <w:rPr>
                <w:sz w:val="20"/>
              </w:rPr>
            </w:pPr>
            <w:r>
              <w:rPr>
                <w:color w:val="000000"/>
                <w:sz w:val="20"/>
                <w:lang w:eastAsia="en-US"/>
              </w:rPr>
              <w:t>The scope of our review was designed to identify and test key control mechanisms within ENA’s Phoenix/LIM Group environment in accordance with the 2000 Business Audit Plan.  Our audit procedures included interviews with key ENA personnel, review and assessment of available policy and procedure documentation and appropriate levels of testing necessary to identify strengths and weaknesses related to the existing control environment.</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99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164" w:hRule="atLeast"/>
        </w:trPr>
        <w:tc>
          <w:tcPr>
            <w:tcW w:w="1440" w:type="dxa"/>
            <w:tcBorders>
              <w:top w:val="single" w:sz="6" w:space="0" w:color="000000"/>
              <w:start w:val="single" w:sz="6" w:space="0" w:color="000000"/>
              <w:bottom w:val="single" w:sz="6" w:space="0" w:color="000000"/>
              <w:end w:val="single" w:sz="6" w:space="0" w:color="000000"/>
            </w:tcBorders>
          </w:tcPr>
          <w:p>
            <w:pPr>
              <w:pStyle w:val="Normal"/>
              <w:rPr>
                <w:i/>
                <w:i/>
                <w:sz w:val="18"/>
                <w:u w:val="single"/>
              </w:rPr>
            </w:pPr>
            <w:r>
              <w:rPr>
                <w:sz w:val="18"/>
                <w:u w:val="single"/>
              </w:rPr>
              <w:t>Phoenix</w:t>
            </w:r>
          </w:p>
        </w:tc>
        <w:tc>
          <w:tcPr>
            <w:tcW w:w="9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Systems Availability</w:t>
            </w:r>
          </w:p>
          <w:p>
            <w:pPr>
              <w:pStyle w:val="Normal"/>
              <w:tabs>
                <w:tab w:val="clear" w:pos="720"/>
                <w:tab w:val="left" w:pos="2520" w:leader="none"/>
              </w:tabs>
              <w:rPr>
                <w:sz w:val="18"/>
              </w:rPr>
            </w:pPr>
            <w:r>
              <w:rPr>
                <w:sz w:val="18"/>
              </w:rPr>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 xml:space="preserve">Application system development and maintenance procedures are effective </w:t>
            </w:r>
          </w:p>
          <w:p>
            <w:pPr>
              <w:pStyle w:val="AIOCNORMAL"/>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8"/>
              </w:numPr>
              <w:tabs>
                <w:tab w:val="clear" w:pos="720"/>
                <w:tab w:val="left" w:pos="252" w:leader="none"/>
              </w:tabs>
              <w:rPr>
                <w:sz w:val="18"/>
              </w:rPr>
            </w:pPr>
            <w:r>
              <w:rPr>
                <w:sz w:val="18"/>
              </w:rPr>
              <w:t xml:space="preserve">The </w:t>
            </w:r>
            <w:r>
              <w:rPr>
                <w:i/>
                <w:sz w:val="18"/>
              </w:rPr>
              <w:t xml:space="preserve"> </w:t>
            </w:r>
            <w:r>
              <w:rPr>
                <w:color w:val="000000"/>
                <w:sz w:val="18"/>
              </w:rPr>
              <w:t>Phoenix system has been developed without any formal  documentation.  Personnel who developed and built this system are no longer employed by Enron which has severely impacted transition and future functionality.</w:t>
            </w:r>
            <w:r>
              <w:rPr>
                <w:sz w:val="18"/>
              </w:rPr>
              <w:t xml:space="preserve"> </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tc>
        <w:tc>
          <w:tcPr>
            <w:tcW w:w="3510" w:type="dxa"/>
            <w:tcBorders>
              <w:top w:val="single" w:sz="6" w:space="0" w:color="000000"/>
              <w:start w:val="single" w:sz="6" w:space="0" w:color="000000"/>
              <w:bottom w:val="single" w:sz="6" w:space="0" w:color="000000"/>
              <w:end w:val="single" w:sz="6" w:space="0" w:color="000000"/>
            </w:tcBorders>
          </w:tcPr>
          <w:p>
            <w:pPr>
              <w:pStyle w:val="Normal"/>
              <w:rPr>
                <w:sz w:val="18"/>
              </w:rPr>
            </w:pPr>
            <w:r>
              <w:rPr>
                <w:b/>
                <w:i/>
                <w:sz w:val="18"/>
              </w:rPr>
              <w:t>Business Impact:</w:t>
            </w:r>
          </w:p>
          <w:p>
            <w:pPr>
              <w:pStyle w:val="Normal"/>
              <w:numPr>
                <w:ilvl w:val="0"/>
                <w:numId w:val="18"/>
              </w:numPr>
              <w:tabs>
                <w:tab w:val="clear" w:pos="720"/>
                <w:tab w:val="left" w:pos="252" w:leader="none"/>
              </w:tabs>
              <w:rPr>
                <w:sz w:val="18"/>
              </w:rPr>
            </w:pPr>
            <w:r>
              <w:rPr>
                <w:sz w:val="18"/>
              </w:rPr>
              <w:t>Time and resources will have to be expended by the new development team in order to document and understand the current system before any efforts may be made to correct the current system deficiencies.</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rPr>
                <w:i/>
                <w:i/>
                <w:sz w:val="18"/>
              </w:rPr>
            </w:pPr>
            <w:r>
              <w:rPr>
                <w:i/>
                <w:sz w:val="18"/>
              </w:rPr>
              <w:t>Step being taken:</w:t>
            </w:r>
          </w:p>
          <w:p>
            <w:pPr>
              <w:pStyle w:val="Normal"/>
              <w:numPr>
                <w:ilvl w:val="0"/>
                <w:numId w:val="18"/>
              </w:numPr>
              <w:tabs>
                <w:tab w:val="clear" w:pos="720"/>
                <w:tab w:val="left" w:pos="252" w:leader="none"/>
              </w:tabs>
              <w:rPr>
                <w:sz w:val="18"/>
              </w:rPr>
            </w:pPr>
            <w:r>
              <w:rPr>
                <w:sz w:val="18"/>
              </w:rPr>
              <w:t>The current Phoenix development team is documenting the entire system in order to evaluate efficiency as well as practical methods of meeting its user requirements.</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rPr>
                <w:sz w:val="18"/>
              </w:rPr>
            </w:pPr>
            <w:r>
              <w:rPr>
                <w:sz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blHeader w:val="true"/>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5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18"/>
                <w:u w:val="single"/>
              </w:rPr>
            </w:pPr>
            <w:r>
              <w:rPr>
                <w:b/>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Systems Availability / Infrastructure</w:t>
            </w:r>
          </w:p>
        </w:tc>
        <w:tc>
          <w:tcPr>
            <w:tcW w:w="2790" w:type="dxa"/>
            <w:tcBorders>
              <w:top w:val="single" w:sz="6" w:space="0" w:color="000000"/>
              <w:start w:val="single" w:sz="6" w:space="0" w:color="000000"/>
              <w:bottom w:val="single" w:sz="6" w:space="0" w:color="000000"/>
              <w:end w:val="single" w:sz="6" w:space="0" w:color="000000"/>
            </w:tcBorders>
          </w:tcPr>
          <w:p>
            <w:pPr>
              <w:pStyle w:val="ListBullet3"/>
              <w:rPr/>
            </w:pPr>
            <w:r>
              <w:rPr/>
              <w:t>Adequate system architecture exists to protect against system failure and support stability</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rPr>
                <w:sz w:val="18"/>
              </w:rPr>
            </w:pPr>
            <w:r>
              <w:rPr>
                <w:sz w:val="18"/>
              </w:rPr>
              <w:t xml:space="preserve">The Phoenix application environment currently has stability issues relating to a Random Access Memory (RAM) problem.  This has resulted in (1) an inability to supply the Sitara and Unify applications with curve and price information in a timely manner and (2) slow system response times. </w:t>
            </w:r>
          </w:p>
          <w:p>
            <w:pPr>
              <w:pStyle w:val="Normal"/>
              <w:tabs>
                <w:tab w:val="clear" w:pos="720"/>
                <w:tab w:val="left" w:pos="2160" w:leader="none"/>
              </w:tabs>
              <w:rPr>
                <w:sz w:val="18"/>
              </w:rPr>
            </w:pPr>
            <w:r>
              <w:rPr>
                <w:sz w:val="18"/>
              </w:rPr>
            </w:r>
          </w:p>
        </w:tc>
        <w:tc>
          <w:tcPr>
            <w:tcW w:w="3510" w:type="dxa"/>
            <w:tcBorders>
              <w:top w:val="single" w:sz="6" w:space="0" w:color="000000"/>
              <w:start w:val="single" w:sz="6" w:space="0" w:color="000000"/>
              <w:bottom w:val="single" w:sz="6" w:space="0" w:color="000000"/>
              <w:end w:val="single" w:sz="6" w:space="0" w:color="000000"/>
            </w:tcBorders>
          </w:tcPr>
          <w:p>
            <w:pPr>
              <w:pStyle w:val="Normal"/>
              <w:rPr>
                <w:sz w:val="18"/>
              </w:rPr>
            </w:pPr>
            <w:r>
              <w:rPr>
                <w:b/>
                <w:i/>
                <w:sz w:val="18"/>
              </w:rPr>
              <w:t>Business Impact:</w:t>
            </w:r>
          </w:p>
          <w:p>
            <w:pPr>
              <w:pStyle w:val="Normal"/>
              <w:numPr>
                <w:ilvl w:val="0"/>
                <w:numId w:val="11"/>
              </w:numPr>
              <w:rPr>
                <w:sz w:val="18"/>
              </w:rPr>
            </w:pPr>
            <w:r>
              <w:rPr>
                <w:sz w:val="18"/>
              </w:rPr>
              <w:t xml:space="preserve">Business users may be unable to access curve and price information for up to ten minutes every hour while the system is restarted.  </w:t>
            </w:r>
          </w:p>
          <w:p>
            <w:pPr>
              <w:pStyle w:val="Normal"/>
              <w:numPr>
                <w:ilvl w:val="0"/>
                <w:numId w:val="11"/>
              </w:numPr>
              <w:rPr>
                <w:sz w:val="18"/>
              </w:rPr>
            </w:pPr>
            <w:r>
              <w:rPr>
                <w:sz w:val="18"/>
              </w:rPr>
              <w:t>Adverse performance issues may delay completion of trades and related tasks.</w:t>
            </w:r>
          </w:p>
          <w:p>
            <w:pPr>
              <w:pStyle w:val="Normal"/>
              <w:rPr>
                <w:sz w:val="18"/>
              </w:rPr>
            </w:pPr>
            <w:r>
              <w:rPr>
                <w:sz w:val="18"/>
              </w:rPr>
            </w:r>
          </w:p>
          <w:p>
            <w:pPr>
              <w:pStyle w:val="Normal"/>
              <w:rPr>
                <w:b/>
                <w:i/>
                <w:i/>
                <w:sz w:val="18"/>
              </w:rPr>
            </w:pPr>
            <w:r>
              <w:rPr>
                <w:b/>
                <w:i/>
                <w:sz w:val="18"/>
              </w:rPr>
              <w:t xml:space="preserve">Steps being taken:  </w:t>
            </w:r>
          </w:p>
          <w:p>
            <w:pPr>
              <w:pStyle w:val="Normal"/>
              <w:numPr>
                <w:ilvl w:val="0"/>
                <w:numId w:val="13"/>
              </w:numPr>
              <w:rPr>
                <w:sz w:val="18"/>
              </w:rPr>
            </w:pPr>
            <w:r>
              <w:rPr>
                <w:sz w:val="18"/>
              </w:rPr>
              <w:t xml:space="preserve">The current resolution process for the memory issue requires manual intervention to identify, terminate, and then restart the individual system process that caused the memory leak.  Efforts are underway to implement a permanent, technology-based solution.  </w:t>
            </w:r>
          </w:p>
          <w:p>
            <w:pPr>
              <w:pStyle w:val="Normal"/>
              <w:numPr>
                <w:ilvl w:val="0"/>
                <w:numId w:val="13"/>
              </w:numPr>
              <w:rPr>
                <w:sz w:val="18"/>
              </w:rPr>
            </w:pPr>
            <w:r>
              <w:rPr>
                <w:sz w:val="18"/>
              </w:rPr>
              <w:t xml:space="preserve">They are now determining whether performance is an issue that </w:t>
            </w:r>
            <w:r>
              <w:rPr>
                <w:i/>
                <w:sz w:val="18"/>
              </w:rPr>
              <w:t>can</w:t>
            </w:r>
            <w:r>
              <w:rPr>
                <w:sz w:val="18"/>
              </w:rPr>
              <w:t xml:space="preserve"> be addressed; if it is possible to enhance performance by adding more memory, or analyzing the method in which data is stored or retrieved, this will be pursued.  Otherwise, additional alternatives such as Market Knowledge Management (MKM) may be used as the tool for supplying prices.</w:t>
            </w:r>
          </w:p>
          <w:p>
            <w:pPr>
              <w:pStyle w:val="Normal"/>
              <w:rPr>
                <w:b/>
                <w:i/>
                <w:i/>
                <w:sz w:val="18"/>
              </w:rPr>
            </w:pPr>
            <w:r>
              <w:rPr>
                <w:b/>
                <w:i/>
                <w:sz w:val="18"/>
              </w:rPr>
            </w:r>
          </w:p>
        </w:tc>
      </w:tr>
    </w:tbl>
    <w:p>
      <w:pPr>
        <w:pStyle w:val="Header"/>
        <w:tabs>
          <w:tab w:val="clear" w:pos="4320"/>
          <w:tab w:val="clear" w:pos="8640"/>
        </w:tabs>
        <w:rPr/>
      </w:pPr>
      <w:r>
        <w:rPr/>
      </w:r>
    </w:p>
    <w:sectPr>
      <w:headerReference w:type="default" r:id="rId2"/>
      <w:footerReference w:type="default" r:id="rId3"/>
      <w:type w:val="nextPage"/>
      <w:pgSz w:orient="landscape" w:w="20160" w:h="12240"/>
      <w:pgMar w:left="1440" w:right="1440" w:gutter="0" w:header="720" w:top="1800" w:footer="72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2</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Phoenix</w:t>
    </w:r>
  </w:p>
  <w:p>
    <w:pPr>
      <w:pStyle w:val="Normal"/>
      <w:jc w:val="center"/>
      <w:rPr>
        <w:b/>
        <w:sz w:val="24"/>
      </w:rPr>
    </w:pPr>
    <w:r>
      <w:rPr>
        <w:b/>
        <w:sz w:val="24"/>
      </w:rPr>
      <w:t>Business Risk Management (BRM) Project Reporting Format</w:t>
    </w:r>
  </w:p>
  <w:p>
    <w:pPr>
      <w:pStyle w:val="Normal"/>
      <w:jc w:val="center"/>
      <w:rPr>
        <w:b/>
        <w:sz w:val="24"/>
      </w:rPr>
    </w:pPr>
    <w:r>
      <w:rPr>
        <w:b/>
        <w:sz w:val="24"/>
      </w:rPr>
    </w:r>
  </w:p>
  <w:p>
    <w:pPr>
      <w:pStyle w:val="Normal"/>
      <w:jc w:val="center"/>
      <w:rPr>
        <w:b/>
        <w:sz w:val="24"/>
      </w:rPr>
    </w:pPr>
    <w:r>
      <w:rPr>
        <w:b/>
        <w:sz w:val="24"/>
      </w:rPr>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283"/>
        </w:tabs>
        <w:ind w:start="283" w:hanging="283"/>
      </w:p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color w:val="000000"/>
      <w:sz w:val="18"/>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sz w:val="18"/>
    </w:rPr>
  </w:style>
  <w:style w:type="character" w:styleId="WW8Num18z0">
    <w:name w:val="WW8Num18z0"/>
    <w:qFormat/>
    <w:rPr>
      <w:rFonts w:ascii="Arial" w:hAnsi="Arial" w:cs="Webdings"/>
    </w:rPr>
  </w:style>
  <w:style w:type="character" w:styleId="WW8Num19z0">
    <w:name w:val="WW8Num19z0"/>
    <w:qFormat/>
    <w:rPr>
      <w:rFonts w:ascii="Symbol" w:hAnsi="Symbol" w:cs="Symbol"/>
      <w:sz w:val="18"/>
    </w:rPr>
  </w:style>
  <w:style w:type="character" w:styleId="WW8Num20z0">
    <w:name w:val="WW8Num20z0"/>
    <w:qFormat/>
    <w:rPr>
      <w:rFonts w:ascii="Book Antiqua" w:hAnsi="Book Antiqua" w:cs="Book Antiqua"/>
      <w:sz w:val="18"/>
    </w:rPr>
  </w:style>
  <w:style w:type="character" w:styleId="WW8Num21z0">
    <w:name w:val="WW8Num21z0"/>
    <w:qFormat/>
    <w:rPr>
      <w:rFonts w:ascii="Symbol" w:hAnsi="Symbol" w:cs="Symbol"/>
      <w:sz w:val="18"/>
    </w:rPr>
  </w:style>
  <w:style w:type="character" w:styleId="WW8Num22z0">
    <w:name w:val="WW8Num22z0"/>
    <w:qFormat/>
    <w:rPr>
      <w:rFonts w:ascii="Symbol" w:hAnsi="Symbol" w:cs="Symbol"/>
      <w:color w:val="000000"/>
      <w:sz w:val="18"/>
    </w:rPr>
  </w:style>
  <w:style w:type="character" w:styleId="WW8Num23z0">
    <w:name w:val="WW8Num23z0"/>
    <w:qFormat/>
    <w:rPr>
      <w:rFonts w:ascii="Book Antiqua" w:hAnsi="Book Antiqua" w:cs="Book Antiqua"/>
      <w:sz w:val="1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Book Antiqua" w:hAnsi="Book Antiqua" w:cs="Book Antiqua"/>
      <w:sz w:val="18"/>
    </w:rPr>
  </w:style>
  <w:style w:type="character" w:styleId="WW8Num28z0">
    <w:name w:val="WW8Num28z0"/>
    <w:qFormat/>
    <w:rPr>
      <w:rFonts w:ascii="Symbol" w:hAnsi="Symbol" w:cs="Symbol"/>
      <w:sz w:val="1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Symbol" w:hAnsi="Symbol" w:cs="Symbol"/>
    </w:rPr>
  </w:style>
  <w:style w:type="character" w:styleId="WW8Num37z0">
    <w:name w:val="WW8Num37z0"/>
    <w:qFormat/>
    <w:rPr>
      <w:rFonts w:ascii="Symbol" w:hAnsi="Symbol" w:cs="Symbol"/>
      <w:sz w:val="18"/>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Book Antiqua" w:hAnsi="Book Antiqua" w:cs="Book Antiqua"/>
      <w:sz w:val="1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000000"/>
      <w:sz w:val="18"/>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sz w:val="18"/>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rPr>
  </w:style>
  <w:style w:type="character" w:styleId="WW8Num59z0">
    <w:name w:val="WW8Num59z0"/>
    <w:qFormat/>
    <w:rPr>
      <w:rFonts w:ascii="Book Antiqua" w:hAnsi="Book Antiqua" w:cs="Book Antiqua"/>
      <w:sz w:val="18"/>
    </w:rPr>
  </w:style>
  <w:style w:type="character" w:styleId="WW8Num60z0">
    <w:name w:val="WW8Num60z0"/>
    <w:qFormat/>
    <w:rPr>
      <w:rFonts w:ascii="Symbol" w:hAnsi="Symbol" w:cs="Symbol"/>
      <w:sz w:val="18"/>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8"/>
    </w:rPr>
  </w:style>
  <w:style w:type="character" w:styleId="WW8Num71z0">
    <w:name w:val="WW8Num71z0"/>
    <w:qFormat/>
    <w:rPr>
      <w:rFonts w:ascii="Symbol" w:hAnsi="Symbol" w:cs="Symbol"/>
    </w:rPr>
  </w:style>
  <w:style w:type="character" w:styleId="WW8Num72z0">
    <w:name w:val="WW8Num72z0"/>
    <w:qFormat/>
    <w:rPr>
      <w:rFonts w:ascii="Symbol" w:hAnsi="Symbol" w:cs="Symbol"/>
      <w:color w:val="000000"/>
      <w:sz w:val="18"/>
    </w:rPr>
  </w:style>
  <w:style w:type="character" w:styleId="WW8Num73z0">
    <w:name w:val="WW8Num73z0"/>
    <w:qFormat/>
    <w:rPr>
      <w:rFonts w:ascii="Arial" w:hAnsi="Arial" w:cs="Webdings"/>
    </w:rPr>
  </w:style>
  <w:style w:type="character" w:styleId="WW8Num74z0">
    <w:name w:val="WW8Num74z0"/>
    <w:qFormat/>
    <w:rPr>
      <w:rFonts w:ascii="Symbol" w:hAnsi="Symbol" w:cs="Symbol"/>
      <w:sz w:val="18"/>
    </w:rPr>
  </w:style>
  <w:style w:type="character" w:styleId="WW8Num75z0">
    <w:name w:val="WW8Num75z0"/>
    <w:qFormat/>
    <w:rPr>
      <w:rFonts w:ascii="Symbol" w:hAnsi="Symbol" w:cs="Symbol"/>
    </w:rPr>
  </w:style>
  <w:style w:type="character" w:styleId="WW8Num76z0">
    <w:name w:val="WW8Num76z0"/>
    <w:qFormat/>
    <w:rPr>
      <w:rFonts w:ascii="Symbol" w:hAnsi="Symbol" w:cs="Symbol"/>
      <w:color w:val="000000"/>
      <w:sz w:val="18"/>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sz w:val="18"/>
    </w:rPr>
  </w:style>
  <w:style w:type="character" w:styleId="WW8Num82z0">
    <w:name w:val="WW8Num82z0"/>
    <w:qFormat/>
    <w:rPr>
      <w:rFonts w:ascii="Symbol" w:hAnsi="Symbol" w:cs="Symbol"/>
      <w:sz w:val="18"/>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18"/>
    </w:rPr>
  </w:style>
  <w:style w:type="character" w:styleId="WW8Num87z0">
    <w:name w:val="WW8Num87z0"/>
    <w:qFormat/>
    <w:rPr>
      <w:rFonts w:ascii="Symbol" w:hAnsi="Symbol" w:cs="Symbol"/>
    </w:rPr>
  </w:style>
  <w:style w:type="character" w:styleId="WW8Num88z0">
    <w:name w:val="WW8Num88z0"/>
    <w:qFormat/>
    <w:rPr>
      <w:rFonts w:ascii="Symbol" w:hAnsi="Symbol" w:cs="Symbol"/>
      <w:color w:val="000000"/>
      <w:sz w:val="18"/>
    </w:rPr>
  </w:style>
  <w:style w:type="character" w:styleId="WW8Num89z0">
    <w:name w:val="WW8Num89z0"/>
    <w:qFormat/>
    <w:rPr>
      <w:rFonts w:ascii="Symbol" w:hAnsi="Symbol" w:cs="Symbol"/>
      <w:sz w:val="18"/>
    </w:rPr>
  </w:style>
  <w:style w:type="character" w:styleId="WW8Num90z0">
    <w:name w:val="WW8Num90z0"/>
    <w:qFormat/>
    <w:rPr>
      <w:rFonts w:ascii="Symbol" w:hAnsi="Symbol" w:cs="Symbol"/>
    </w:rPr>
  </w:style>
  <w:style w:type="character" w:styleId="WW8Num91z0">
    <w:name w:val="WW8Num91z0"/>
    <w:qFormat/>
    <w:rPr>
      <w:rFonts w:ascii="Symbol" w:hAnsi="Symbol" w:cs="Symbol"/>
      <w:sz w:val="18"/>
    </w:rPr>
  </w:style>
  <w:style w:type="character" w:styleId="WW8Num92z0">
    <w:name w:val="WW8Num92z0"/>
    <w:qFormat/>
    <w:rPr>
      <w:rFonts w:ascii="Symbol" w:hAnsi="Symbol" w:cs="Symbol"/>
      <w:sz w:val="16"/>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color w:val="000000"/>
      <w:sz w:val="18"/>
    </w:rPr>
  </w:style>
  <w:style w:type="character" w:styleId="WW8Num95z0">
    <w:name w:val="WW8Num95z0"/>
    <w:qFormat/>
    <w:rPr>
      <w:rFonts w:ascii="Symbol" w:hAnsi="Symbol" w:cs="Symbol"/>
      <w:sz w:val="18"/>
    </w:rPr>
  </w:style>
  <w:style w:type="character" w:styleId="WW8Num96z0">
    <w:name w:val="WW8Num96z0"/>
    <w:qFormat/>
    <w:rPr>
      <w:rFonts w:ascii="Symbol" w:hAnsi="Symbol" w:cs="Symbol"/>
      <w:sz w:val="16"/>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rPr>
  </w:style>
  <w:style w:type="character" w:styleId="WW8Num99z0">
    <w:name w:val="WW8Num99z0"/>
    <w:qFormat/>
    <w:rPr>
      <w:rFonts w:ascii="Symbol" w:hAnsi="Symbol" w:cs="Symbol"/>
      <w:sz w:val="18"/>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sz w:val="16"/>
    </w:rPr>
  </w:style>
  <w:style w:type="character" w:styleId="WW8Num103z0">
    <w:name w:val="WW8Num103z0"/>
    <w:qFormat/>
    <w:rPr>
      <w:rFonts w:ascii="Symbol" w:hAnsi="Symbol" w:cs="Symbol"/>
    </w:rPr>
  </w:style>
  <w:style w:type="character" w:styleId="WW8Num104z0">
    <w:name w:val="WW8Num104z0"/>
    <w:qFormat/>
    <w:rPr>
      <w:rFonts w:ascii="Symbol" w:hAnsi="Symbol" w:cs="Symbol"/>
      <w:sz w:val="18"/>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Book Antiqua" w:hAnsi="Book Antiqua" w:cs="Book Antiqua"/>
      <w:sz w:val="18"/>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sz w:val="18"/>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sz w:val="18"/>
    </w:rPr>
  </w:style>
  <w:style w:type="character" w:styleId="WW8Num123z0">
    <w:name w:val="WW8Num123z0"/>
    <w:qFormat/>
    <w:rPr>
      <w:rFonts w:ascii="Symbol" w:hAnsi="Symbol" w:cs="Symbol"/>
      <w:color w:val="000000"/>
      <w:sz w:val="18"/>
    </w:rPr>
  </w:style>
  <w:style w:type="character" w:styleId="WW8Num124z0">
    <w:name w:val="WW8Num124z0"/>
    <w:qFormat/>
    <w:rPr>
      <w:rFonts w:ascii="Symbol" w:hAnsi="Symbol" w:cs="Symbol"/>
      <w:sz w:val="18"/>
    </w:rPr>
  </w:style>
  <w:style w:type="character" w:styleId="WW8Num125z0">
    <w:name w:val="WW8Num125z0"/>
    <w:qFormat/>
    <w:rPr>
      <w:rFonts w:ascii="Symbol" w:hAnsi="Symbol" w:cs="Symbol"/>
    </w:rPr>
  </w:style>
  <w:style w:type="character" w:styleId="WW8Num126z0">
    <w:name w:val="WW8Num126z0"/>
    <w:qFormat/>
    <w:rPr>
      <w:rFonts w:ascii="Symbol" w:hAnsi="Symbol" w:cs="Symbol"/>
      <w:sz w:val="18"/>
    </w:rPr>
  </w:style>
  <w:style w:type="character" w:styleId="WW8Num127z0">
    <w:name w:val="WW8Num127z0"/>
    <w:qFormat/>
    <w:rPr>
      <w:rFonts w:ascii="Symbol" w:hAnsi="Symbol" w:cs="Symbol"/>
      <w:color w:val="000000"/>
      <w:sz w:val="18"/>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sz w:val="18"/>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sz w:val="18"/>
    </w:rPr>
  </w:style>
  <w:style w:type="character" w:styleId="WW8Num139z0">
    <w:name w:val="WW8Num139z0"/>
    <w:qFormat/>
    <w:rPr>
      <w:rFonts w:ascii="Symbol" w:hAnsi="Symbol" w:cs="Symbol"/>
      <w:sz w:val="18"/>
    </w:rPr>
  </w:style>
  <w:style w:type="character" w:styleId="WW8Num140z0">
    <w:name w:val="WW8Num140z0"/>
    <w:qFormat/>
    <w:rPr>
      <w:rFonts w:ascii="Symbol" w:hAnsi="Symbol" w:cs="Symbol"/>
      <w:color w:val="000000"/>
      <w:sz w:val="18"/>
    </w:rPr>
  </w:style>
  <w:style w:type="character" w:styleId="WW8Num141z0">
    <w:name w:val="WW8Num141z0"/>
    <w:qFormat/>
    <w:rPr>
      <w:rFonts w:ascii="Symbol" w:hAnsi="Symbol" w:cs="Symbol"/>
      <w:sz w:val="18"/>
    </w:rPr>
  </w:style>
  <w:style w:type="character" w:styleId="WW8Num142z0">
    <w:name w:val="WW8Num142z0"/>
    <w:qFormat/>
    <w:rPr>
      <w:rFonts w:ascii="Symbol" w:hAnsi="Symbol" w:cs="Symbol"/>
      <w:sz w:val="18"/>
    </w:rPr>
  </w:style>
  <w:style w:type="character" w:styleId="WW8Num143z0">
    <w:name w:val="WW8Num143z0"/>
    <w:qFormat/>
    <w:rPr>
      <w:rFonts w:ascii="Book Antiqua" w:hAnsi="Book Antiqua" w:cs="Book Antiqua"/>
      <w:sz w:val="18"/>
    </w:rPr>
  </w:style>
  <w:style w:type="character" w:styleId="WW8Num144z0">
    <w:name w:val="WW8Num144z0"/>
    <w:qFormat/>
    <w:rPr>
      <w:rFonts w:ascii="Symbol" w:hAnsi="Symbol" w:cs="Symbol"/>
      <w:color w:val="auto"/>
    </w:rPr>
  </w:style>
  <w:style w:type="character" w:styleId="WW8Num145z0">
    <w:name w:val="WW8Num145z0"/>
    <w:qFormat/>
    <w:rPr>
      <w:rFonts w:ascii="Book Antiqua" w:hAnsi="Book Antiqua" w:cs="Book Antiqua"/>
      <w:sz w:val="18"/>
    </w:rPr>
  </w:style>
  <w:style w:type="character" w:styleId="WW8Num146z0">
    <w:name w:val="WW8Num146z0"/>
    <w:qFormat/>
    <w:rPr>
      <w:rFonts w:ascii="Symbol" w:hAnsi="Symbol" w:cs="Symbol"/>
    </w:rPr>
  </w:style>
  <w:style w:type="character" w:styleId="WW8Num147z0">
    <w:name w:val="WW8Num147z0"/>
    <w:qFormat/>
    <w:rPr>
      <w:rFonts w:ascii="Symbol" w:hAnsi="Symbol" w:cs="Symbol"/>
      <w:sz w:val="18"/>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color w:val="auto"/>
    </w:rPr>
  </w:style>
  <w:style w:type="character" w:styleId="WW8Num150z0">
    <w:name w:val="WW8Num150z0"/>
    <w:qFormat/>
    <w:rPr>
      <w:rFonts w:ascii="Symbol" w:hAnsi="Symbol" w:cs="Symbol"/>
      <w:sz w:val="18"/>
    </w:rPr>
  </w:style>
  <w:style w:type="character" w:styleId="WW8Num151z0">
    <w:name w:val="WW8Num151z0"/>
    <w:qFormat/>
    <w:rPr>
      <w:rFonts w:ascii="Symbol" w:hAnsi="Symbol" w:cs="Symbol"/>
      <w:sz w:val="18"/>
    </w:rPr>
  </w:style>
  <w:style w:type="character" w:styleId="WW8Num152z0">
    <w:name w:val="WW8Num152z0"/>
    <w:qFormat/>
    <w:rPr>
      <w:rFonts w:ascii="Symbol" w:hAnsi="Symbol" w:cs="Symbol"/>
      <w:color w:val="000000"/>
      <w:sz w:val="18"/>
    </w:rPr>
  </w:style>
  <w:style w:type="character" w:styleId="WW8Num153z0">
    <w:name w:val="WW8Num153z0"/>
    <w:qFormat/>
    <w:rPr>
      <w:rFonts w:ascii="Symbol" w:hAnsi="Symbol" w:cs="Symbol"/>
      <w:color w:val="000000"/>
      <w:sz w:val="18"/>
    </w:rPr>
  </w:style>
  <w:style w:type="character" w:styleId="WW8Num154z0">
    <w:name w:val="WW8Num154z0"/>
    <w:qFormat/>
    <w:rPr>
      <w:rFonts w:ascii="Symbol" w:hAnsi="Symbol" w:cs="Symbol"/>
    </w:rPr>
  </w:style>
  <w:style w:type="character" w:styleId="WW8Num155z0">
    <w:name w:val="WW8Num155z0"/>
    <w:qFormat/>
    <w:rPr>
      <w:rFonts w:ascii="Symbol" w:hAnsi="Symbol" w:cs="Symbol"/>
      <w:sz w:val="16"/>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color w:val="000000"/>
      <w:sz w:val="18"/>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Wingdings" w:hAnsi="Wingdings" w:cs="Wingdings"/>
      <w:sz w:val="16"/>
    </w:rPr>
  </w:style>
  <w:style w:type="character" w:styleId="WW8Num162z0">
    <w:name w:val="WW8Num162z0"/>
    <w:qFormat/>
    <w:rPr>
      <w:rFonts w:ascii="Symbol" w:hAnsi="Symbol" w:cs="Symbol"/>
    </w:rPr>
  </w:style>
  <w:style w:type="character" w:styleId="WW8Num163z0">
    <w:name w:val="WW8Num163z0"/>
    <w:qFormat/>
    <w:rPr>
      <w:rFonts w:ascii="Symbol" w:hAnsi="Symbol" w:cs="Symbol"/>
      <w:color w:val="000000"/>
      <w:sz w:val="18"/>
    </w:rPr>
  </w:style>
  <w:style w:type="character" w:styleId="WW8Num164z0">
    <w:name w:val="WW8Num164z0"/>
    <w:qFormat/>
    <w:rPr>
      <w:rFonts w:ascii="Symbol" w:hAnsi="Symbol" w:cs="Symbol"/>
      <w:sz w:val="18"/>
    </w:rPr>
  </w:style>
  <w:style w:type="character" w:styleId="WW8Num165z0">
    <w:name w:val="WW8Num165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tabs>
        <w:tab w:val="clear" w:pos="720"/>
        <w:tab w:val="left" w:pos="851" w:leader="none"/>
        <w:tab w:val="left" w:pos="1134" w:leader="none"/>
      </w:tabs>
      <w:spacing w:lineRule="atLeast" w:line="280"/>
    </w:pPr>
    <w:rPr>
      <w:sz w:val="18"/>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6"/>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17"/>
      </w:numPr>
      <w:tabs>
        <w:tab w:val="left" w:pos="360" w:leader="none"/>
      </w:tabs>
      <w:ind w:hanging="284" w:start="568" w:end="0"/>
    </w:pPr>
    <w:rPr/>
  </w:style>
  <w:style w:type="paragraph" w:styleId="AANumbering">
    <w:name w:val="AA Numbering"/>
    <w:basedOn w:val="Normal"/>
    <w:qFormat/>
    <w:pPr>
      <w:numPr>
        <w:ilvl w:val="0"/>
        <w:numId w:val="14"/>
      </w:numPr>
      <w:tabs>
        <w:tab w:val="clear" w:pos="720"/>
        <w:tab w:val="left" w:pos="1134" w:leader="none"/>
      </w:tabs>
      <w:spacing w:lineRule="atLeast" w:line="280"/>
      <w:ind w:hanging="0" w:start="0" w:end="0"/>
    </w:pPr>
    <w:rPr>
      <w:rFonts w:ascii="Times New Roman" w:hAnsi="Times New Roman" w:cs="Times New Roman"/>
    </w:rPr>
  </w:style>
  <w:style w:type="paragraph" w:styleId="BodyText2">
    <w:name w:val="Body Text 2"/>
    <w:basedOn w:val="Normal"/>
    <w:qFormat/>
    <w:pPr/>
    <w:rPr>
      <w:sz w:val="18"/>
    </w:rPr>
  </w:style>
  <w:style w:type="paragraph" w:styleId="BodyText3">
    <w:name w:val="Body Text 3"/>
    <w:basedOn w:val="Normal"/>
    <w:qFormat/>
    <w:pPr>
      <w:tabs>
        <w:tab w:val="clear" w:pos="720"/>
        <w:tab w:val="left" w:pos="252" w:leader="none"/>
      </w:tabs>
    </w:pPr>
    <w:rPr>
      <w:b/>
      <w:i/>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2000-08-31T11:45:00Z</dcterms:created>
  <dc:creator>donnelcc</dc:creator>
  <dc:description/>
  <dc:language>en-CA</dc:language>
  <cp:lastModifiedBy>Arthur Andersen</cp:lastModifiedBy>
  <cp:lastPrinted>2000-08-31T10:12:00Z</cp:lastPrinted>
  <dcterms:modified xsi:type="dcterms:W3CDTF">2000-09-05T11:05:00Z</dcterms:modified>
  <cp:revision>6</cp:revision>
  <dc:subject/>
  <dc:title>Project Name</dc:title>
</cp:coreProperties>
</file>