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Matura MT Script Capitals" w:ascii="Matura MT Script Capitals" w:hAnsi="Matura MT Script Capitals"/>
          <w:b/>
          <w:sz w:val="48"/>
          <w:u w:val="single"/>
        </w:rPr>
        <w:t>C</w:t>
      </w:r>
      <w:r>
        <w:rPr>
          <w:b/>
          <w:sz w:val="48"/>
          <w:u w:val="single"/>
        </w:rPr>
        <w:t xml:space="preserve">ommercial </w:t>
      </w:r>
      <w:r>
        <w:rPr>
          <w:rFonts w:cs="Matura MT Script Capitals" w:ascii="Matura MT Script Capitals" w:hAnsi="Matura MT Script Capitals"/>
          <w:b/>
          <w:sz w:val="48"/>
          <w:u w:val="single"/>
        </w:rPr>
        <w:t>I</w:t>
      </w:r>
      <w:r>
        <w:rPr>
          <w:b/>
          <w:sz w:val="48"/>
          <w:u w:val="single"/>
        </w:rPr>
        <w:t xml:space="preserve">nvestment </w:t>
      </w:r>
      <w:r>
        <w:rPr>
          <w:rFonts w:cs="Matura MT Script Capitals" w:ascii="Matura MT Script Capitals" w:hAnsi="Matura MT Script Capitals"/>
          <w:b/>
          <w:sz w:val="48"/>
          <w:u w:val="single"/>
        </w:rPr>
        <w:t>S</w:t>
      </w:r>
      <w:r>
        <w:rPr>
          <w:b/>
          <w:sz w:val="48"/>
          <w:u w:val="single"/>
        </w:rPr>
        <w:t xml:space="preserve">ervices, </w:t>
      </w:r>
      <w:r>
        <w:rPr>
          <w:rFonts w:cs="Matura MT Script Capitals" w:ascii="Matura MT Script Capitals" w:hAnsi="Matura MT Script Capitals"/>
          <w:b/>
          <w:sz w:val="48"/>
          <w:u w:val="single"/>
        </w:rPr>
        <w:t>I</w:t>
      </w:r>
      <w:r>
        <w:rPr>
          <w:b/>
          <w:sz w:val="48"/>
          <w:u w:val="single"/>
        </w:rPr>
        <w:t>nc.</w:t>
      </w:r>
    </w:p>
    <w:p>
      <w:pPr>
        <w:pStyle w:val="Normal"/>
        <w:jc w:val="center"/>
        <w:rPr>
          <w:b/>
        </w:rPr>
      </w:pPr>
      <w:r>
        <w:rPr>
          <w:b/>
        </w:rPr>
        <w:t>4211 Gardendale, #200 - San Antonio - Texas - 78229</w:t>
      </w:r>
    </w:p>
    <w:p>
      <w:pPr>
        <w:pStyle w:val="Normal"/>
        <w:jc w:val="center"/>
        <w:rPr>
          <w:b/>
        </w:rPr>
      </w:pPr>
      <w:r>
        <w:rPr>
          <w:b/>
        </w:rPr>
        <w:t>(210) 615-5248 Phone - (210) 615-8978 Facsimile</w:t>
      </w:r>
    </w:p>
    <w:p>
      <w:pPr>
        <w:pStyle w:val="Normal"/>
        <w:rPr>
          <w:sz w:val="22"/>
        </w:rPr>
      </w:pPr>
      <w:r>
        <w:rPr>
          <w:sz w:val="22"/>
        </w:rPr>
      </w:r>
    </w:p>
    <w:p>
      <w:pPr>
        <w:pStyle w:val="Normal"/>
        <w:jc w:val="center"/>
        <w:rPr>
          <w:sz w:val="22"/>
        </w:rPr>
      </w:pPr>
      <w:r>
        <w:rPr>
          <w:sz w:val="22"/>
        </w:rPr>
      </w:r>
    </w:p>
    <w:p>
      <w:pPr>
        <w:pStyle w:val="Normal"/>
        <w:rPr>
          <w:sz w:val="22"/>
        </w:rPr>
      </w:pPr>
      <w:r>
        <w:rPr>
          <w:sz w:val="22"/>
        </w:rPr>
        <w:t>Date:</w:t>
        <w:tab/>
        <w:tab/>
        <w:t>April 18, 2001</w:t>
        <w:tab/>
        <w:tab/>
        <w:tab/>
      </w:r>
    </w:p>
    <w:p>
      <w:pPr>
        <w:pStyle w:val="Normal"/>
        <w:rPr>
          <w:sz w:val="22"/>
        </w:rPr>
      </w:pPr>
      <w:r>
        <w:rPr>
          <w:sz w:val="22"/>
        </w:rPr>
      </w:r>
    </w:p>
    <w:p>
      <w:pPr>
        <w:pStyle w:val="Normal"/>
        <w:rPr>
          <w:sz w:val="22"/>
        </w:rPr>
      </w:pPr>
      <w:r>
        <w:rPr>
          <w:sz w:val="22"/>
        </w:rPr>
        <w:t>To:</w:t>
        <w:tab/>
        <w:tab/>
        <w:t>Phillip &amp; Keith</w:t>
      </w:r>
    </w:p>
    <w:p>
      <w:pPr>
        <w:pStyle w:val="Normal"/>
        <w:rPr>
          <w:sz w:val="22"/>
        </w:rPr>
      </w:pPr>
      <w:r>
        <w:rPr>
          <w:sz w:val="22"/>
        </w:rPr>
      </w:r>
    </w:p>
    <w:p>
      <w:pPr>
        <w:pStyle w:val="Normal"/>
        <w:rPr>
          <w:sz w:val="22"/>
        </w:rPr>
      </w:pPr>
      <w:r>
        <w:rPr>
          <w:sz w:val="22"/>
        </w:rPr>
        <w:t>From:</w:t>
        <w:tab/>
        <w:tab/>
        <w:t>Greg Thorse</w:t>
      </w:r>
    </w:p>
    <w:p>
      <w:pPr>
        <w:pStyle w:val="Normal"/>
        <w:rPr>
          <w:sz w:val="22"/>
        </w:rPr>
      </w:pPr>
      <w:r>
        <w:rPr>
          <w:sz w:val="22"/>
        </w:rPr>
      </w:r>
    </w:p>
    <w:p>
      <w:pPr>
        <w:pStyle w:val="Normal"/>
        <w:rPr>
          <w:sz w:val="22"/>
        </w:rPr>
      </w:pPr>
      <w:r>
        <w:rPr>
          <w:sz w:val="22"/>
        </w:rPr>
        <w:t>Re:</w:t>
        <w:tab/>
        <w:tab/>
        <w:t>Bishops Corner</w:t>
      </w:r>
    </w:p>
    <w:p>
      <w:pPr>
        <w:pStyle w:val="Normal"/>
        <w:rPr>
          <w:sz w:val="22"/>
        </w:rPr>
      </w:pPr>
      <w:r>
        <w:rPr>
          <w:sz w:val="22"/>
        </w:rPr>
        <w:tab/>
        <w:tab/>
        <w:t>San Marcos, Texas</w:t>
      </w:r>
    </w:p>
    <w:p>
      <w:pPr>
        <w:pStyle w:val="Normal"/>
        <w:rPr>
          <w:sz w:val="22"/>
        </w:rPr>
      </w:pPr>
      <w:r>
        <w:rPr>
          <w:sz w:val="22"/>
          <w:u w:val="single"/>
        </w:rPr>
        <w:tab/>
        <w:tab/>
        <w:tab/>
        <w:tab/>
        <w:tab/>
        <w:tab/>
        <w:tab/>
        <w:tab/>
        <w:tab/>
        <w:tab/>
        <w:tab/>
        <w:tab/>
      </w:r>
    </w:p>
    <w:p>
      <w:pPr>
        <w:pStyle w:val="Normal"/>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jc w:val="both"/>
        <w:rPr>
          <w:sz w:val="22"/>
        </w:rPr>
      </w:pPr>
      <w:r>
        <w:rPr>
          <w:sz w:val="22"/>
        </w:rPr>
        <w:t>Attached to this e-mail is the currently estimated outline for deposits to be paid for the Bishops Corner Apartments MAP Application.</w:t>
      </w:r>
    </w:p>
    <w:p>
      <w:pPr>
        <w:pStyle w:val="Normal"/>
        <w:jc w:val="both"/>
        <w:rPr>
          <w:sz w:val="22"/>
        </w:rPr>
      </w:pPr>
      <w:r>
        <w:rPr>
          <w:sz w:val="22"/>
        </w:rPr>
      </w:r>
    </w:p>
    <w:p>
      <w:pPr>
        <w:pStyle w:val="Normal"/>
        <w:jc w:val="both"/>
        <w:rPr>
          <w:sz w:val="22"/>
        </w:rPr>
      </w:pPr>
      <w:r>
        <w:rPr>
          <w:sz w:val="22"/>
        </w:rPr>
        <w:t>As of last Friday we sent the required “Team Letter” from Bill Montez, to Prudential, to HUD for preparation of the MAP application for financing for the above referenced project.</w:t>
      </w:r>
    </w:p>
    <w:p>
      <w:pPr>
        <w:pStyle w:val="Normal"/>
        <w:jc w:val="both"/>
        <w:rPr>
          <w:sz w:val="22"/>
        </w:rPr>
      </w:pPr>
      <w:r>
        <w:rPr>
          <w:sz w:val="22"/>
        </w:rPr>
      </w:r>
    </w:p>
    <w:p>
      <w:pPr>
        <w:pStyle w:val="Normal"/>
        <w:jc w:val="both"/>
        <w:rPr>
          <w:sz w:val="22"/>
        </w:rPr>
      </w:pPr>
      <w:r>
        <w:rPr>
          <w:sz w:val="22"/>
        </w:rPr>
        <w:t>The team letter is inclusive of the parties who will be performing the “Third Party” reports for the HUD Map Application for HUD’s approval.  They approved the team this week and we, through Prudential, are now engaging the consultants who will be preparing the reports to submit to HUD.</w:t>
      </w:r>
    </w:p>
    <w:p>
      <w:pPr>
        <w:pStyle w:val="Normal"/>
        <w:jc w:val="both"/>
        <w:rPr>
          <w:sz w:val="22"/>
        </w:rPr>
      </w:pPr>
      <w:r>
        <w:rPr>
          <w:sz w:val="22"/>
        </w:rPr>
      </w:r>
    </w:p>
    <w:p>
      <w:pPr>
        <w:pStyle w:val="Normal"/>
        <w:jc w:val="both"/>
        <w:rPr/>
      </w:pPr>
      <w:r>
        <w:rPr>
          <w:sz w:val="22"/>
        </w:rPr>
        <w:t>The consultants have been told to be on the “Fast Track” and that we need the reports by the 7</w:t>
      </w:r>
      <w:r>
        <w:rPr>
          <w:sz w:val="22"/>
          <w:vertAlign w:val="superscript"/>
        </w:rPr>
        <w:t>th</w:t>
      </w:r>
      <w:r>
        <w:rPr>
          <w:sz w:val="22"/>
        </w:rPr>
        <w:t xml:space="preserve"> of May. Montez will prepare the entire Loan App. for Prudential, and Prudential shall submit the application on or about May 15</w:t>
      </w:r>
      <w:r>
        <w:rPr>
          <w:sz w:val="22"/>
          <w:vertAlign w:val="superscript"/>
        </w:rPr>
        <w:t>th</w:t>
      </w:r>
      <w:r>
        <w:rPr>
          <w:sz w:val="22"/>
        </w:rPr>
        <w:t>. HUD will review the application over the next 30 days and then issue an invitation or denial of the project.</w:t>
      </w:r>
    </w:p>
    <w:p>
      <w:pPr>
        <w:pStyle w:val="Normal"/>
        <w:jc w:val="both"/>
        <w:rPr>
          <w:sz w:val="22"/>
        </w:rPr>
      </w:pPr>
      <w:r>
        <w:rPr>
          <w:sz w:val="22"/>
        </w:rPr>
      </w:r>
    </w:p>
    <w:p>
      <w:pPr>
        <w:pStyle w:val="Normal"/>
        <w:jc w:val="both"/>
        <w:rPr>
          <w:sz w:val="22"/>
        </w:rPr>
      </w:pPr>
      <w:r>
        <w:rPr>
          <w:sz w:val="22"/>
        </w:rPr>
        <w:t>At the same time, the A &amp; E guys will be completing the final site plan hopefully by Friday this week. When this is complete and the building layouts are fit to the site as we proposed to them, the consultants will be on full speed and on a designated completion timeline for completing the Civil, Arch. Design, MEP, Framing, Foundation, Landscape and Interior Design plans. I expect these to take a total of 60 to 90 days.</w:t>
      </w:r>
    </w:p>
    <w:p>
      <w:pPr>
        <w:pStyle w:val="Normal"/>
        <w:jc w:val="both"/>
        <w:rPr>
          <w:sz w:val="22"/>
        </w:rPr>
      </w:pPr>
      <w:r>
        <w:rPr>
          <w:sz w:val="22"/>
        </w:rPr>
      </w:r>
    </w:p>
    <w:p>
      <w:pPr>
        <w:pStyle w:val="Normal"/>
        <w:jc w:val="both"/>
        <w:rPr>
          <w:sz w:val="22"/>
        </w:rPr>
      </w:pPr>
      <w:r>
        <w:rPr>
          <w:sz w:val="22"/>
        </w:rPr>
        <w:t>Once the plans are complete we will submit them simultaneously to the City Of San Marcos for permits, the HUD cost analyst for cost review, and to contractors of your choice for bids. The cost analysis and the bids take about 30 days to complete.  The permit process, which is running simultaneously, takes about 60 days.</w:t>
      </w:r>
    </w:p>
    <w:p>
      <w:pPr>
        <w:pStyle w:val="Normal"/>
        <w:jc w:val="both"/>
        <w:rPr>
          <w:sz w:val="22"/>
        </w:rPr>
      </w:pPr>
      <w:r>
        <w:rPr>
          <w:sz w:val="22"/>
        </w:rPr>
      </w:r>
    </w:p>
    <w:p>
      <w:pPr>
        <w:pStyle w:val="Normal"/>
        <w:jc w:val="both"/>
        <w:rPr>
          <w:sz w:val="22"/>
        </w:rPr>
      </w:pPr>
      <w:r>
        <w:rPr>
          <w:sz w:val="22"/>
        </w:rPr>
        <w:t>Once the cost review and the contractor bids are complete, we then submit them for FIRM application and this takes about 45 days to process by HUD. When the FIRM commitment comes out you are then ready to close and begin construction. This takes another 30-45 days.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sz w:val="22"/>
        </w:rPr>
        <w:t>If you add all this together, we are looking at the processing time of this project to run along the timeline I submitted previously to you. I expect we can begin construction between September 1st and October 1</w:t>
      </w:r>
      <w:r>
        <w:rPr>
          <w:sz w:val="22"/>
          <w:vertAlign w:val="superscript"/>
        </w:rPr>
        <w:t>st</w:t>
      </w:r>
      <w:r>
        <w:rPr>
          <w:sz w:val="22"/>
        </w:rPr>
        <w:t>, allowing us a total of 10 to 12 months to get it built.  No doubt that it is tight.</w:t>
      </w:r>
    </w:p>
    <w:p>
      <w:pPr>
        <w:pStyle w:val="Normal"/>
        <w:jc w:val="both"/>
        <w:rPr>
          <w:sz w:val="22"/>
        </w:rPr>
      </w:pPr>
      <w:r>
        <w:rPr>
          <w:sz w:val="22"/>
        </w:rPr>
      </w:r>
    </w:p>
    <w:p>
      <w:pPr>
        <w:pStyle w:val="Normal"/>
        <w:jc w:val="both"/>
        <w:rPr>
          <w:sz w:val="22"/>
        </w:rPr>
      </w:pPr>
      <w:r>
        <w:rPr>
          <w:sz w:val="22"/>
        </w:rPr>
        <w:t>We need to just go forward as fast as we can at this point now that we have committed to the design and financing route.</w:t>
      </w:r>
    </w:p>
    <w:p>
      <w:pPr>
        <w:pStyle w:val="Normal"/>
        <w:jc w:val="both"/>
        <w:rPr>
          <w:sz w:val="22"/>
        </w:rPr>
      </w:pPr>
      <w:r>
        <w:rPr>
          <w:sz w:val="22"/>
        </w:rPr>
      </w:r>
    </w:p>
    <w:p>
      <w:pPr>
        <w:pStyle w:val="Normal"/>
        <w:jc w:val="both"/>
        <w:rPr>
          <w:sz w:val="22"/>
        </w:rPr>
      </w:pPr>
      <w:r>
        <w:rPr>
          <w:sz w:val="22"/>
        </w:rPr>
        <w:t xml:space="preserve">I will get with you Friday at lunch to go over this further with you. </w:t>
      </w:r>
    </w:p>
    <w:p>
      <w:pPr>
        <w:pStyle w:val="Normal"/>
        <w:jc w:val="both"/>
        <w:rPr>
          <w:sz w:val="22"/>
        </w:rPr>
      </w:pPr>
      <w:r>
        <w:rPr>
          <w:sz w:val="22"/>
        </w:rPr>
      </w:r>
    </w:p>
    <w:p>
      <w:pPr>
        <w:pStyle w:val="Normal"/>
        <w:jc w:val="both"/>
        <w:rPr>
          <w:sz w:val="22"/>
        </w:rPr>
      </w:pPr>
      <w:r>
        <w:rPr>
          <w:sz w:val="22"/>
        </w:rPr>
        <w:t>This is a great deal for you guys and I look forward to getting it done.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Gregory L. Thorse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P.S. New Bruanfels (i.e. Keegans Mill) is on the same schedule as this one. The difference is that I am putting the money in right now to receive the invitation letter, and that I will not begin extensive design work until I get an approved invitation from HUD.  The reason that New Bruanfels will be able to keep up with this one is that we will only really have to do the Civil plans which I have begun. Most of the rest of the plans will remain boiler plate from another project we have just completed, and this will allow us to complete full design in about 60 days from invitation. Plus we don’t have the same small leasing window to fit through and construction can be extended over a longer period.</w:t>
      </w:r>
    </w:p>
    <w:p>
      <w:pPr>
        <w:pStyle w:val="Normal"/>
        <w:jc w:val="both"/>
        <w:rPr>
          <w:sz w:val="22"/>
        </w:rPr>
      </w:pPr>
      <w:r>
        <w:rPr>
          <w:sz w:val="22"/>
        </w:rPr>
      </w:r>
    </w:p>
    <w:p>
      <w:pPr>
        <w:pStyle w:val="Normal"/>
        <w:jc w:val="both"/>
        <w:rPr>
          <w:sz w:val="22"/>
        </w:rPr>
      </w:pPr>
      <w:r>
        <w:rPr>
          <w:sz w:val="22"/>
        </w:rPr>
        <w:t xml:space="preserve">I look forward to having you guys in that deal also. Right now I will put you down for it, and you don’t need to really commit anything until it is in the final design phase. </w:t>
      </w:r>
    </w:p>
    <w:sectPr>
      <w:type w:val="nextPage"/>
      <w:pgSz w:w="12240" w:h="15840"/>
      <w:pgMar w:left="1800" w:right="1800" w:gutter="0" w:header="0" w:top="43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Matura MT Script Capital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both"/>
      <w:outlineLvl w:val="1"/>
    </w:pPr>
    <w:rPr>
      <w:i/>
      <w:sz w:val="22"/>
    </w:rPr>
  </w:style>
  <w:style w:type="character" w:styleId="WW8Num1z0">
    <w:name w:val="WW8Num1z0"/>
    <w:qFormat/>
    <w:rPr/>
  </w:style>
  <w:style w:type="character" w:styleId="WW8Num2z0">
    <w:name w:val="WW8Num2z0"/>
    <w:qFormat/>
    <w:rPr/>
  </w:style>
  <w:style w:type="character" w:styleId="WW8Num3z0">
    <w:name w:val="WW8Num3z0"/>
    <w:qFormat/>
    <w:rPr>
      <w:b/>
      <w:i w:val="false"/>
    </w:rPr>
  </w:style>
  <w:style w:type="character" w:styleId="WW8Num4z0">
    <w:name w:val="WW8Num4z0"/>
    <w:qFormat/>
    <w:rPr>
      <w:rFonts w:ascii="Wingdings" w:hAnsi="Wingdings" w:cs="Wingdings"/>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2001-04-18T23:34:00Z</dcterms:created>
  <dc:creator>Greg Thorse</dc:creator>
  <dc:description/>
  <dc:language>en-CA</dc:language>
  <cp:lastModifiedBy>Greg Thorse</cp:lastModifiedBy>
  <cp:lastPrinted>2001-04-18T20:54:00Z</cp:lastPrinted>
  <dcterms:modified xsi:type="dcterms:W3CDTF">2001-04-18T23:34:00Z</dcterms:modified>
  <cp:revision>2</cp:revision>
  <dc:subject/>
  <dc:title>May 12, 1998</dc:title>
</cp:coreProperties>
</file>