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Matura MT Script Capitals;Edwardian Script ITC" w:ascii="Matura MT Script Capitals;Edwardian Script ITC" w:hAnsi="Matura MT Script Capitals;Edwardian Script ITC"/>
          <w:b/>
          <w:sz w:val="48"/>
          <w:u w:val="single"/>
        </w:rPr>
        <w:t>C</w:t>
      </w:r>
      <w:r>
        <w:rPr>
          <w:b/>
          <w:sz w:val="48"/>
          <w:u w:val="single"/>
        </w:rPr>
        <w:t xml:space="preserve">ommercial </w:t>
      </w:r>
      <w:r>
        <w:rPr>
          <w:rFonts w:cs="Matura MT Script Capitals;Edwardian Script ITC" w:ascii="Matura MT Script Capitals;Edwardian Script ITC" w:hAnsi="Matura MT Script Capitals;Edwardian Script ITC"/>
          <w:b/>
          <w:sz w:val="48"/>
          <w:u w:val="single"/>
        </w:rPr>
        <w:t>I</w:t>
      </w:r>
      <w:r>
        <w:rPr>
          <w:b/>
          <w:sz w:val="48"/>
          <w:u w:val="single"/>
        </w:rPr>
        <w:t xml:space="preserve">nvestment </w:t>
      </w:r>
      <w:r>
        <w:rPr>
          <w:rFonts w:cs="Matura MT Script Capitals;Edwardian Script ITC" w:ascii="Matura MT Script Capitals;Edwardian Script ITC" w:hAnsi="Matura MT Script Capitals;Edwardian Script ITC"/>
          <w:b/>
          <w:sz w:val="48"/>
          <w:u w:val="single"/>
        </w:rPr>
        <w:t>S</w:t>
      </w:r>
      <w:r>
        <w:rPr>
          <w:b/>
          <w:sz w:val="48"/>
          <w:u w:val="single"/>
        </w:rPr>
        <w:t xml:space="preserve">ervices, </w:t>
      </w:r>
      <w:r>
        <w:rPr>
          <w:rFonts w:cs="Matura MT Script Capitals;Edwardian Script ITC" w:ascii="Matura MT Script Capitals;Edwardian Script ITC" w:hAnsi="Matura MT Script Capitals;Edwardian Script ITC"/>
          <w:b/>
          <w:sz w:val="48"/>
          <w:u w:val="single"/>
        </w:rPr>
        <w:t>I</w:t>
      </w:r>
      <w:r>
        <w:rPr>
          <w:b/>
          <w:sz w:val="48"/>
          <w:u w:val="single"/>
        </w:rPr>
        <w:t>nc.</w:t>
      </w:r>
    </w:p>
    <w:p>
      <w:pPr>
        <w:pStyle w:val="Normal"/>
        <w:jc w:val="center"/>
        <w:rPr>
          <w:b/>
        </w:rPr>
      </w:pPr>
      <w:r>
        <w:rPr>
          <w:b/>
        </w:rPr>
        <w:t>4211 Gardendale, #200 - San Antonio - Texas - 78229</w:t>
      </w:r>
    </w:p>
    <w:p>
      <w:pPr>
        <w:pStyle w:val="Normal"/>
        <w:jc w:val="center"/>
        <w:rPr>
          <w:b/>
        </w:rPr>
      </w:pPr>
      <w:r>
        <w:rPr>
          <w:b/>
        </w:rPr>
        <w:t>(210) 615-5248 Phone - (210) 615-8978 Facsimile</w:t>
      </w:r>
    </w:p>
    <w:p>
      <w:pPr>
        <w:pStyle w:val="Normal"/>
        <w:rPr>
          <w:sz w:val="22"/>
        </w:rPr>
      </w:pPr>
      <w:r>
        <w:rPr>
          <w:sz w:val="22"/>
        </w:rPr>
      </w:r>
    </w:p>
    <w:p>
      <w:pPr>
        <w:pStyle w:val="Normal"/>
        <w:jc w:val="center"/>
        <w:rPr>
          <w:sz w:val="22"/>
        </w:rPr>
      </w:pPr>
      <w:r>
        <w:rPr>
          <w:sz w:val="22"/>
        </w:rPr>
      </w:r>
    </w:p>
    <w:p>
      <w:pPr>
        <w:pStyle w:val="Normal"/>
        <w:rPr>
          <w:sz w:val="22"/>
        </w:rPr>
      </w:pPr>
      <w:r>
        <w:rPr>
          <w:sz w:val="22"/>
        </w:rPr>
        <w:t>Date:</w:t>
        <w:tab/>
        <w:tab/>
        <w:t>December 18, 2001</w:t>
        <w:tab/>
        <w:tab/>
        <w:tab/>
      </w:r>
    </w:p>
    <w:p>
      <w:pPr>
        <w:pStyle w:val="Normal"/>
        <w:rPr>
          <w:sz w:val="22"/>
        </w:rPr>
      </w:pPr>
      <w:r>
        <w:rPr>
          <w:sz w:val="22"/>
        </w:rPr>
      </w:r>
    </w:p>
    <w:p>
      <w:pPr>
        <w:pStyle w:val="Normal"/>
        <w:rPr>
          <w:sz w:val="22"/>
        </w:rPr>
      </w:pPr>
      <w:r>
        <w:rPr>
          <w:sz w:val="22"/>
        </w:rPr>
        <w:t>To:</w:t>
        <w:tab/>
        <w:tab/>
        <w:t xml:space="preserve">Phillip </w:t>
      </w:r>
    </w:p>
    <w:p>
      <w:pPr>
        <w:pStyle w:val="Normal"/>
        <w:rPr>
          <w:sz w:val="22"/>
        </w:rPr>
      </w:pPr>
      <w:r>
        <w:rPr>
          <w:sz w:val="22"/>
        </w:rPr>
      </w:r>
    </w:p>
    <w:p>
      <w:pPr>
        <w:pStyle w:val="Normal"/>
        <w:rPr>
          <w:sz w:val="22"/>
        </w:rPr>
      </w:pPr>
      <w:r>
        <w:rPr>
          <w:sz w:val="22"/>
        </w:rPr>
        <w:t>From:</w:t>
        <w:tab/>
        <w:tab/>
        <w:t>Greg Thorse</w:t>
      </w:r>
    </w:p>
    <w:p>
      <w:pPr>
        <w:pStyle w:val="Normal"/>
        <w:rPr>
          <w:sz w:val="22"/>
        </w:rPr>
      </w:pPr>
      <w:r>
        <w:rPr>
          <w:sz w:val="22"/>
        </w:rPr>
      </w:r>
    </w:p>
    <w:p>
      <w:pPr>
        <w:pStyle w:val="Normal"/>
        <w:rPr>
          <w:sz w:val="22"/>
        </w:rPr>
      </w:pPr>
      <w:r>
        <w:rPr>
          <w:sz w:val="22"/>
        </w:rPr>
        <w:t>Re:</w:t>
        <w:tab/>
        <w:tab/>
        <w:t>1031 Sites</w:t>
      </w:r>
    </w:p>
    <w:p>
      <w:pPr>
        <w:pStyle w:val="Normal"/>
        <w:rPr>
          <w:sz w:val="22"/>
        </w:rPr>
      </w:pPr>
      <w:r>
        <w:rPr>
          <w:sz w:val="22"/>
          <w:u w:val="single"/>
        </w:rPr>
        <w:tab/>
        <w:tab/>
        <w:tab/>
        <w:tab/>
        <w:tab/>
        <w:tab/>
        <w:tab/>
        <w:tab/>
        <w:tab/>
        <w:tab/>
        <w:tab/>
        <w:tab/>
      </w:r>
    </w:p>
    <w:p>
      <w:pPr>
        <w:pStyle w:val="Normal"/>
        <w:rPr>
          <w:sz w:val="22"/>
        </w:rPr>
      </w:pPr>
      <w:r>
        <w:rPr>
          <w:sz w:val="22"/>
        </w:rPr>
      </w:r>
    </w:p>
    <w:p>
      <w:pPr>
        <w:pStyle w:val="Normal"/>
        <w:jc w:val="both"/>
        <w:rPr>
          <w:sz w:val="22"/>
        </w:rPr>
      </w:pPr>
      <w:r>
        <w:rPr>
          <w:sz w:val="22"/>
        </w:rPr>
        <w:t>Phillip;</w:t>
      </w:r>
    </w:p>
    <w:p>
      <w:pPr>
        <w:pStyle w:val="Normal"/>
        <w:jc w:val="both"/>
        <w:rPr>
          <w:sz w:val="22"/>
        </w:rPr>
      </w:pPr>
      <w:r>
        <w:rPr>
          <w:sz w:val="22"/>
        </w:rPr>
      </w:r>
    </w:p>
    <w:p>
      <w:pPr>
        <w:pStyle w:val="Normal"/>
        <w:jc w:val="both"/>
        <w:rPr>
          <w:sz w:val="22"/>
        </w:rPr>
      </w:pPr>
      <w:r>
        <w:rPr>
          <w:sz w:val="22"/>
        </w:rPr>
        <w:t>The following are the three land sites as listed for the 1031, pick the ones you like.</w:t>
      </w:r>
    </w:p>
    <w:p>
      <w:pPr>
        <w:pStyle w:val="Normal"/>
        <w:jc w:val="both"/>
        <w:rPr>
          <w:sz w:val="22"/>
        </w:rPr>
      </w:pPr>
      <w:r>
        <w:rPr>
          <w:sz w:val="22"/>
        </w:rPr>
      </w:r>
    </w:p>
    <w:p>
      <w:pPr>
        <w:pStyle w:val="Normal"/>
        <w:jc w:val="both"/>
        <w:rPr>
          <w:sz w:val="22"/>
        </w:rPr>
      </w:pPr>
      <w:r>
        <w:rPr>
          <w:sz w:val="22"/>
        </w:rPr>
        <w:t>Stone Oak “Land Hold” Tract:</w:t>
        <w:tab/>
        <w:tab/>
        <w:tab/>
        <w:tab/>
        <w:tab/>
        <w:tab/>
        <w:t>$1,900,000 Purchase</w:t>
      </w:r>
    </w:p>
    <w:p>
      <w:pPr>
        <w:pStyle w:val="Normal"/>
        <w:jc w:val="both"/>
        <w:rPr>
          <w:sz w:val="22"/>
        </w:rPr>
      </w:pPr>
      <w:r>
        <w:rPr>
          <w:sz w:val="22"/>
        </w:rPr>
        <w:tab/>
        <w:tab/>
        <w:tab/>
        <w:tab/>
        <w:tab/>
        <w:tab/>
        <w:tab/>
        <w:tab/>
        <w:tab/>
        <w:t>Cash/Note Combo</w:t>
      </w:r>
    </w:p>
    <w:p>
      <w:pPr>
        <w:pStyle w:val="Normal"/>
        <w:jc w:val="both"/>
        <w:rPr>
          <w:sz w:val="22"/>
        </w:rPr>
      </w:pPr>
      <w:r>
        <w:rPr>
          <w:sz w:val="22"/>
        </w:rPr>
        <w:tab/>
        <w:tab/>
        <w:tab/>
        <w:tab/>
        <w:tab/>
        <w:tab/>
        <w:tab/>
        <w:tab/>
        <w:tab/>
        <w:t>Buy Back Agreement</w:t>
      </w:r>
    </w:p>
    <w:p>
      <w:pPr>
        <w:pStyle w:val="Normal"/>
        <w:jc w:val="both"/>
        <w:rPr>
          <w:sz w:val="22"/>
        </w:rPr>
      </w:pPr>
      <w:r>
        <w:rPr>
          <w:sz w:val="22"/>
        </w:rPr>
      </w:r>
    </w:p>
    <w:p>
      <w:pPr>
        <w:pStyle w:val="Normal"/>
        <w:jc w:val="both"/>
        <w:rPr>
          <w:sz w:val="22"/>
        </w:rPr>
      </w:pPr>
      <w:r>
        <w:rPr>
          <w:sz w:val="22"/>
        </w:rPr>
        <w:t>Fee Simple: At the Southeast corner of the intersection of Evans Road and Stone Oak Parkway, more particularly described as that being a 6.429 acre unplatted tract of land in NCB 19219, City Of San Antonio, Bexar County, Texas.</w:t>
      </w:r>
    </w:p>
    <w:p>
      <w:pPr>
        <w:pStyle w:val="Normal"/>
        <w:jc w:val="both"/>
        <w:rPr>
          <w:sz w:val="22"/>
        </w:rPr>
      </w:pPr>
      <w:r>
        <w:rPr>
          <w:sz w:val="22"/>
        </w:rPr>
      </w:r>
    </w:p>
    <w:p>
      <w:pPr>
        <w:pStyle w:val="Normal"/>
        <w:jc w:val="both"/>
        <w:rPr>
          <w:sz w:val="22"/>
        </w:rPr>
      </w:pPr>
      <w:r>
        <w:rPr>
          <w:sz w:val="22"/>
        </w:rPr>
        <w:t>Perrin Oaks Apartment Tract:</w:t>
        <w:tab/>
        <w:tab/>
        <w:tab/>
        <w:tab/>
        <w:tab/>
        <w:tab/>
        <w:t>$1,000,000 Purchase</w:t>
      </w:r>
    </w:p>
    <w:p>
      <w:pPr>
        <w:pStyle w:val="Normal"/>
        <w:jc w:val="both"/>
        <w:rPr>
          <w:sz w:val="22"/>
        </w:rPr>
      </w:pPr>
      <w:r>
        <w:rPr>
          <w:sz w:val="22"/>
        </w:rPr>
        <w:tab/>
        <w:tab/>
        <w:tab/>
        <w:tab/>
        <w:tab/>
        <w:tab/>
        <w:tab/>
        <w:tab/>
        <w:tab/>
        <w:t>Cash Note/Combo or</w:t>
      </w:r>
    </w:p>
    <w:p>
      <w:pPr>
        <w:pStyle w:val="Normal"/>
        <w:jc w:val="both"/>
        <w:rPr>
          <w:sz w:val="22"/>
        </w:rPr>
      </w:pPr>
      <w:r>
        <w:rPr>
          <w:sz w:val="22"/>
        </w:rPr>
        <w:tab/>
        <w:tab/>
        <w:tab/>
        <w:tab/>
        <w:tab/>
        <w:tab/>
        <w:tab/>
        <w:tab/>
        <w:tab/>
        <w:t>Partial Purchase</w:t>
      </w:r>
    </w:p>
    <w:p>
      <w:pPr>
        <w:pStyle w:val="Normal"/>
        <w:jc w:val="both"/>
        <w:rPr>
          <w:sz w:val="22"/>
        </w:rPr>
      </w:pPr>
      <w:r>
        <w:rPr>
          <w:sz w:val="22"/>
        </w:rPr>
      </w:r>
    </w:p>
    <w:p>
      <w:pPr>
        <w:pStyle w:val="Normal"/>
        <w:jc w:val="both"/>
        <w:rPr/>
      </w:pPr>
      <w:r>
        <w:rPr>
          <w:sz w:val="22"/>
        </w:rPr>
        <w:t>Fee Simple: At the direct east corner of the intersection of Wurzbach Parkway and Perrin Central, more particularly described as 10.786 acres as that being</w:t>
      </w:r>
      <w:r>
        <w:rPr>
          <w:sz w:val="24"/>
        </w:rPr>
        <w:t xml:space="preserve"> Lot 40 described as that which is included in, Block 3, New City Block 15863, Perrin Central Subdivision, in the City of San Antonio, Bexar County, Texas, according to the plat thereof recorded in volume 9503, page 47, Deed and Plat Records of Bexar County, Texas, and lots 72 and 73 further described as that which is included in, Block 3, New City Block 15863, Central Business Park Subdivision, Unit 3, in the City of San Antonio, Bexar County, Texas, according to the plat thereof recorded in volume 9511, page 76, Deed and Plat Records of Bexar County, Texas, save and accept that portion of land sold to the Texas State Highway Department. </w:t>
      </w:r>
    </w:p>
    <w:p>
      <w:pPr>
        <w:pStyle w:val="Normal"/>
        <w:jc w:val="both"/>
        <w:rPr>
          <w:sz w:val="24"/>
        </w:rPr>
      </w:pPr>
      <w:r>
        <w:rPr>
          <w:sz w:val="24"/>
        </w:rPr>
      </w:r>
    </w:p>
    <w:p>
      <w:pPr>
        <w:pStyle w:val="Normal"/>
        <w:jc w:val="both"/>
        <w:rPr>
          <w:sz w:val="24"/>
        </w:rPr>
      </w:pPr>
      <w:r>
        <w:rPr>
          <w:sz w:val="24"/>
        </w:rPr>
        <w:t>Keegans Mill Tract:</w:t>
        <w:tab/>
        <w:tab/>
        <w:tab/>
        <w:tab/>
        <w:tab/>
        <w:tab/>
        <w:tab/>
        <w:t>$485,000 Purchase</w:t>
      </w:r>
    </w:p>
    <w:p>
      <w:pPr>
        <w:pStyle w:val="Normal"/>
        <w:jc w:val="both"/>
        <w:rPr>
          <w:sz w:val="24"/>
        </w:rPr>
      </w:pPr>
      <w:r>
        <w:rPr>
          <w:sz w:val="24"/>
        </w:rPr>
        <w:tab/>
        <w:tab/>
        <w:tab/>
        <w:tab/>
        <w:tab/>
        <w:tab/>
        <w:tab/>
        <w:tab/>
        <w:tab/>
        <w:t>Cash</w:t>
      </w:r>
    </w:p>
    <w:p>
      <w:pPr>
        <w:pStyle w:val="Normal"/>
        <w:jc w:val="both"/>
        <w:rPr>
          <w:sz w:val="24"/>
        </w:rPr>
      </w:pPr>
      <w:r>
        <w:rPr>
          <w:sz w:val="24"/>
        </w:rPr>
      </w:r>
    </w:p>
    <w:p>
      <w:pPr>
        <w:pStyle w:val="Normal"/>
        <w:jc w:val="both"/>
        <w:rPr>
          <w:sz w:val="24"/>
        </w:rPr>
      </w:pPr>
      <w:r>
        <w:rPr>
          <w:sz w:val="24"/>
        </w:rPr>
        <w:t>Fee Simple: On the east side of Huisache a 9.935 acre tract, located on Block 2, Lot 2 of the Lee Stange Subdivision, recorded in New Braunfels, Texas</w:t>
      </w:r>
    </w:p>
    <w:p>
      <w:pPr>
        <w:pStyle w:val="Normal"/>
        <w:jc w:val="both"/>
        <w:rPr>
          <w:sz w:val="22"/>
        </w:rPr>
      </w:pPr>
      <w:r>
        <w:rPr>
          <w:sz w:val="22"/>
        </w:rPr>
      </w:r>
    </w:p>
    <w:sectPr>
      <w:type w:val="nextPage"/>
      <w:pgSz w:w="12240" w:h="15840"/>
      <w:pgMar w:left="1800" w:right="1800" w:gutter="0" w:header="0" w:top="43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Matura MT Script Capitals">
    <w:altName w:val="Edwardian Script ITC"/>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both"/>
      <w:outlineLvl w:val="1"/>
    </w:pPr>
    <w:rPr>
      <w:i/>
      <w:sz w:val="22"/>
    </w:rPr>
  </w:style>
  <w:style w:type="character" w:styleId="WW8Num1z0">
    <w:name w:val="WW8Num1z0"/>
    <w:qFormat/>
    <w:rPr/>
  </w:style>
  <w:style w:type="character" w:styleId="WW8Num2z0">
    <w:name w:val="WW8Num2z0"/>
    <w:qFormat/>
    <w:rPr/>
  </w:style>
  <w:style w:type="character" w:styleId="WW8Num3z0">
    <w:name w:val="WW8Num3z0"/>
    <w:qFormat/>
    <w:rPr>
      <w:b/>
      <w:i w:val="false"/>
    </w:rPr>
  </w:style>
  <w:style w:type="character" w:styleId="WW8Num4z0">
    <w:name w:val="WW8Num4z0"/>
    <w:qFormat/>
    <w:rPr>
      <w:rFonts w:ascii="Wingdings" w:hAnsi="Wingdings" w:cs="Wingdings"/>
      <w:sz w:val="24"/>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2001-12-19T23:26:00Z</dcterms:created>
  <dc:creator>Greg Thorse</dc:creator>
  <dc:description/>
  <dc:language>en-CA</dc:language>
  <cp:lastModifiedBy>Greg Thorse</cp:lastModifiedBy>
  <cp:lastPrinted>2001-04-04T11:07:00Z</cp:lastPrinted>
  <dcterms:modified xsi:type="dcterms:W3CDTF">2001-12-19T23:26:00Z</dcterms:modified>
  <cp:revision>2</cp:revision>
  <dc:subject/>
  <dc:title>May 12, 1998</dc:title>
</cp:coreProperties>
</file>