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22"/>
        </w:rPr>
      </w:pPr>
      <w:r>
        <w:rPr>
          <w:b/>
          <w:i/>
          <w:sz w:val="22"/>
        </w:rPr>
      </w:r>
    </w:p>
    <w:p>
      <w:pPr>
        <w:pStyle w:val="Normal"/>
        <w:jc w:val="center"/>
        <w:rPr>
          <w:b/>
          <w:i/>
          <w:i/>
          <w:sz w:val="22"/>
        </w:rPr>
      </w:pPr>
      <w:r>
        <w:rPr>
          <w:b/>
          <w:i/>
          <w:sz w:val="22"/>
        </w:rPr>
        <w:t>ENRON EMPLOYEE REFERRAL INCENTIVE PROGRAM</w:t>
      </w:r>
    </w:p>
    <w:p>
      <w:pPr>
        <w:pStyle w:val="Heading4"/>
        <w:ind w:hanging="0" w:start="0"/>
        <w:rPr>
          <w:sz w:val="20"/>
        </w:rPr>
      </w:pPr>
      <w:r>
        <w:rPr>
          <w:sz w:val="20"/>
        </w:rPr>
        <w:t>Enron Corp., EEL, ENA, ECI, EES, GPG, EECC, EOGI, Enron South America, Enron Caribbean/Middle East, Asia/Africa, India</w:t>
      </w:r>
    </w:p>
    <w:p>
      <w:pPr>
        <w:pStyle w:val="Normal"/>
        <w:jc w:val="center"/>
        <w:rPr>
          <w:b/>
          <w:i/>
          <w:i/>
          <w:sz w:val="22"/>
        </w:rPr>
      </w:pPr>
      <w:r>
        <w:rPr>
          <w:b/>
          <w:i/>
          <w:sz w:val="22"/>
        </w:rPr>
      </w:r>
    </w:p>
    <w:p>
      <w:pPr>
        <w:pStyle w:val="Normal"/>
        <w:pBdr>
          <w:top w:val="single" w:sz="6" w:space="1" w:color="000000" w:shadow="1"/>
          <w:left w:val="single" w:sz="6" w:space="1" w:color="000000" w:shadow="1"/>
          <w:bottom w:val="single" w:sz="6" w:space="1" w:color="000000" w:shadow="1"/>
          <w:right w:val="single" w:sz="6" w:space="1" w:color="000000" w:shadow="1"/>
        </w:pBdr>
        <w:shd w:fill="E5E500" w:val="clear"/>
        <w:jc w:val="center"/>
        <w:rPr>
          <w:rFonts w:ascii="Tahoma" w:hAnsi="Tahoma" w:cs="Tahoma"/>
          <w:b/>
          <w:i/>
          <w:i/>
          <w:sz w:val="22"/>
          <w:u w:val="single"/>
        </w:rPr>
      </w:pPr>
      <w:r>
        <w:rPr>
          <w:rFonts w:cs="Tahoma" w:ascii="Tahoma" w:hAnsi="Tahoma"/>
          <w:b/>
          <w:i/>
          <w:sz w:val="22"/>
          <w:u w:val="single"/>
        </w:rPr>
        <w:t>Purpose</w:t>
      </w:r>
    </w:p>
    <w:p>
      <w:pPr>
        <w:pStyle w:val="Normal"/>
        <w:pBdr>
          <w:top w:val="single" w:sz="6" w:space="1" w:color="000000" w:shadow="1"/>
          <w:left w:val="single" w:sz="6" w:space="1" w:color="000000" w:shadow="1"/>
          <w:bottom w:val="single" w:sz="6" w:space="1" w:color="000000" w:shadow="1"/>
          <w:right w:val="single" w:sz="6" w:space="1" w:color="000000" w:shadow="1"/>
        </w:pBdr>
        <w:shd w:fill="E5E500" w:val="clear"/>
        <w:rPr>
          <w:rFonts w:ascii="Tahoma" w:hAnsi="Tahoma" w:cs="Tahoma"/>
          <w:b/>
          <w:sz w:val="22"/>
        </w:rPr>
      </w:pPr>
      <w:r>
        <w:rPr>
          <w:rFonts w:cs="Tahoma" w:ascii="Tahoma" w:hAnsi="Tahoma"/>
          <w:b/>
          <w:sz w:val="22"/>
        </w:rPr>
        <w:t>To provide incentives for current domestic employees of Enron Corp. and it’s subsidiaries referring applicants who are hired for regular full-time U.S. payroll-based positions within Enron.</w:t>
      </w:r>
    </w:p>
    <w:p>
      <w:pPr>
        <w:pStyle w:val="Normal"/>
        <w:rPr>
          <w:rFonts w:ascii="Tahoma" w:hAnsi="Tahoma" w:cs="Tahoma"/>
          <w:b/>
          <w:sz w:val="16"/>
        </w:rPr>
      </w:pPr>
      <w:r>
        <w:rPr>
          <w:rFonts w:cs="Tahoma" w:ascii="Tahoma" w:hAnsi="Tahoma"/>
          <w:b/>
          <w:sz w:val="16"/>
        </w:rPr>
      </w:r>
    </w:p>
    <w:p>
      <w:pPr>
        <w:pStyle w:val="Heading5"/>
        <w:ind w:hanging="0" w:start="0"/>
        <w:rPr/>
      </w:pPr>
      <w:r>
        <w:rPr/>
        <w:t>General Guidelines</w:t>
      </w:r>
    </w:p>
    <w:p>
      <w:pPr>
        <w:pStyle w:val="Normal"/>
        <w:rPr>
          <w:sz w:val="22"/>
        </w:rPr>
      </w:pPr>
      <w:r>
        <w:rPr>
          <w:sz w:val="22"/>
        </w:rPr>
        <w:t>The following awards, less withholding taxes, will be paid to employees for referring individuals hired into regular full-time positions by any of the Enron companies listed above:</w:t>
      </w:r>
    </w:p>
    <w:p>
      <w:pPr>
        <w:pStyle w:val="Normal"/>
        <w:rPr>
          <w:sz w:val="16"/>
        </w:rPr>
      </w:pPr>
      <w:r>
        <w:rPr>
          <w:sz w:val="16"/>
        </w:rPr>
      </w:r>
    </w:p>
    <w:p>
      <w:pPr>
        <w:pStyle w:val="Normal"/>
        <w:numPr>
          <w:ilvl w:val="0"/>
          <w:numId w:val="2"/>
        </w:numPr>
        <w:rPr>
          <w:b/>
          <w:sz w:val="22"/>
        </w:rPr>
      </w:pPr>
      <w:r>
        <w:rPr>
          <w:b/>
          <w:sz w:val="22"/>
        </w:rPr>
        <w:t>$2,000 for Exempt positions</w:t>
      </w:r>
    </w:p>
    <w:p>
      <w:pPr>
        <w:pStyle w:val="Normal"/>
        <w:numPr>
          <w:ilvl w:val="0"/>
          <w:numId w:val="2"/>
        </w:numPr>
        <w:rPr>
          <w:b/>
          <w:sz w:val="22"/>
        </w:rPr>
      </w:pPr>
      <w:r>
        <w:rPr>
          <w:b/>
          <w:sz w:val="22"/>
        </w:rPr>
        <w:t>$1,000 for Non-exempt positions</w:t>
      </w:r>
    </w:p>
    <w:p>
      <w:pPr>
        <w:pStyle w:val="Normal"/>
        <w:numPr>
          <w:ilvl w:val="0"/>
          <w:numId w:val="0"/>
        </w:numPr>
        <w:ind w:hanging="360" w:start="360" w:end="0"/>
        <w:rPr>
          <w:b/>
          <w:sz w:val="16"/>
        </w:rPr>
      </w:pPr>
      <w:r>
        <w:rPr>
          <w:b/>
          <w:sz w:val="16"/>
        </w:rPr>
      </w:r>
    </w:p>
    <w:p>
      <w:pPr>
        <w:pStyle w:val="Normal"/>
        <w:numPr>
          <w:ilvl w:val="0"/>
          <w:numId w:val="0"/>
        </w:numPr>
        <w:ind w:hanging="0" w:start="0"/>
        <w:rPr/>
      </w:pPr>
      <w:r>
        <w:rPr>
          <w:sz w:val="22"/>
        </w:rPr>
        <w:t xml:space="preserve">Employees of any U.S. payroll-based Enron operating company may recommend qualified acquaintances for any </w:t>
      </w:r>
      <w:r>
        <w:rPr>
          <w:b/>
          <w:sz w:val="22"/>
        </w:rPr>
        <w:t>specific</w:t>
      </w:r>
      <w:r>
        <w:rPr>
          <w:sz w:val="22"/>
        </w:rPr>
        <w:t xml:space="preserve"> approved open regular full-time position in above mentioned groups.  Referrals are considered employee specific, meaning no more than one employee may refer the same individual for employment.   Advertising through ads, the internet or other mediums is prohibited. </w:t>
      </w:r>
    </w:p>
    <w:p>
      <w:pPr>
        <w:pStyle w:val="Normal"/>
        <w:numPr>
          <w:ilvl w:val="0"/>
          <w:numId w:val="0"/>
        </w:numPr>
        <w:ind w:hanging="0" w:start="0"/>
        <w:rPr>
          <w:sz w:val="16"/>
        </w:rPr>
      </w:pPr>
      <w:r>
        <w:rPr>
          <w:sz w:val="16"/>
        </w:rPr>
      </w:r>
    </w:p>
    <w:p>
      <w:pPr>
        <w:pStyle w:val="Normal"/>
        <w:numPr>
          <w:ilvl w:val="0"/>
          <w:numId w:val="0"/>
        </w:numPr>
        <w:ind w:hanging="0" w:start="0"/>
        <w:rPr/>
      </w:pPr>
      <w:r>
        <w:rPr>
          <w:sz w:val="22"/>
        </w:rPr>
        <w:t xml:space="preserve">Awards will be earned only for referrals of individuals who become U.S. payroll-based regular full-time employees and remain on the payroll for 60 days. Referrals must be </w:t>
      </w:r>
      <w:r>
        <w:rPr>
          <w:sz w:val="22"/>
          <w:u w:val="single"/>
        </w:rPr>
        <w:t>new</w:t>
      </w:r>
      <w:r>
        <w:rPr>
          <w:sz w:val="22"/>
        </w:rPr>
        <w:t xml:space="preserve"> hires.  Retirees, employees from other Enron operating companies, contract/temporary employees hired for full-time positions, rehires or persons returning from leave of absence do not qualify.</w:t>
      </w:r>
    </w:p>
    <w:p>
      <w:pPr>
        <w:pStyle w:val="Normal"/>
        <w:numPr>
          <w:ilvl w:val="0"/>
          <w:numId w:val="0"/>
        </w:numPr>
        <w:ind w:hanging="0" w:start="0"/>
        <w:rPr/>
      </w:pPr>
      <w:r>
        <w:rPr>
          <w:b/>
          <w:i/>
          <w:sz w:val="22"/>
        </w:rPr>
        <w:t>NOTE</w:t>
      </w:r>
      <w:r>
        <w:rPr>
          <w:sz w:val="22"/>
        </w:rPr>
        <w:t xml:space="preserve">:  </w:t>
      </w:r>
      <w:r>
        <w:rPr>
          <w:b/>
          <w:sz w:val="22"/>
        </w:rPr>
        <w:t>At times, special incentives may be offered for referrals to specific positions announced within the intranet job posting system</w:t>
      </w:r>
      <w:r>
        <w:rPr>
          <w:sz w:val="22"/>
        </w:rPr>
        <w:t>.</w:t>
      </w:r>
    </w:p>
    <w:p>
      <w:pPr>
        <w:pStyle w:val="Normal"/>
        <w:numPr>
          <w:ilvl w:val="0"/>
          <w:numId w:val="0"/>
        </w:numPr>
        <w:ind w:hanging="0" w:start="0"/>
        <w:rPr>
          <w:sz w:val="16"/>
        </w:rPr>
      </w:pPr>
      <w:r>
        <w:rPr>
          <w:sz w:val="16"/>
        </w:rPr>
      </w:r>
    </w:p>
    <w:p>
      <w:pPr>
        <w:pStyle w:val="Normal"/>
        <w:numPr>
          <w:ilvl w:val="0"/>
          <w:numId w:val="0"/>
        </w:numPr>
        <w:ind w:hanging="0" w:start="0"/>
        <w:rPr/>
      </w:pPr>
      <w:r>
        <w:rPr>
          <w:sz w:val="22"/>
        </w:rPr>
        <w:t xml:space="preserve">Members of an employee’s family may be referred, however they may </w:t>
      </w:r>
      <w:r>
        <w:rPr>
          <w:sz w:val="22"/>
          <w:u w:val="single"/>
        </w:rPr>
        <w:t>not be hired</w:t>
      </w:r>
      <w:r>
        <w:rPr>
          <w:sz w:val="22"/>
        </w:rPr>
        <w:t xml:space="preserve"> if employment would:</w:t>
      </w:r>
    </w:p>
    <w:p>
      <w:pPr>
        <w:pStyle w:val="Normal"/>
        <w:numPr>
          <w:ilvl w:val="0"/>
          <w:numId w:val="0"/>
        </w:numPr>
        <w:ind w:hanging="0" w:start="720" w:end="0"/>
        <w:rPr>
          <w:sz w:val="22"/>
        </w:rPr>
      </w:pPr>
      <w:r>
        <w:rPr>
          <w:sz w:val="22"/>
        </w:rPr>
        <w:t>Create a supervisor/subordinate relationship with a family member;</w:t>
      </w:r>
    </w:p>
    <w:p>
      <w:pPr>
        <w:pStyle w:val="Normal"/>
        <w:numPr>
          <w:ilvl w:val="0"/>
          <w:numId w:val="0"/>
        </w:numPr>
        <w:ind w:hanging="0" w:start="720" w:end="0"/>
        <w:rPr>
          <w:sz w:val="22"/>
        </w:rPr>
      </w:pPr>
      <w:r>
        <w:rPr>
          <w:sz w:val="22"/>
        </w:rPr>
        <w:t>Create a conflict of interest.</w:t>
      </w:r>
    </w:p>
    <w:p>
      <w:pPr>
        <w:pStyle w:val="Normal"/>
        <w:numPr>
          <w:ilvl w:val="0"/>
          <w:numId w:val="0"/>
        </w:numPr>
        <w:ind w:hanging="0" w:start="720" w:end="0"/>
        <w:rPr>
          <w:sz w:val="16"/>
        </w:rPr>
      </w:pPr>
      <w:r>
        <w:rPr>
          <w:sz w:val="16"/>
        </w:rPr>
      </w:r>
    </w:p>
    <w:p>
      <w:pPr>
        <w:pStyle w:val="Heading5"/>
        <w:numPr>
          <w:ilvl w:val="0"/>
          <w:numId w:val="0"/>
        </w:numPr>
        <w:ind w:hanging="0" w:start="0"/>
        <w:rPr/>
      </w:pPr>
      <w:r>
        <w:rPr/>
        <w:t xml:space="preserve">Eligibility </w:t>
      </w:r>
    </w:p>
    <w:p>
      <w:pPr>
        <w:pStyle w:val="Normal"/>
        <w:numPr>
          <w:ilvl w:val="0"/>
          <w:numId w:val="0"/>
        </w:numPr>
        <w:ind w:hanging="0" w:start="0"/>
        <w:rPr>
          <w:sz w:val="22"/>
        </w:rPr>
      </w:pPr>
      <w:r>
        <w:rPr>
          <w:sz w:val="22"/>
        </w:rPr>
        <w:t>All U.S. payroll-based regular full-time and part-time employees of any Enron operating company are eligible to participate with the following exceptions:</w:t>
      </w:r>
    </w:p>
    <w:p>
      <w:pPr>
        <w:pStyle w:val="Normal"/>
        <w:numPr>
          <w:ilvl w:val="0"/>
          <w:numId w:val="2"/>
        </w:numPr>
        <w:ind w:hanging="360" w:start="360" w:end="0"/>
        <w:rPr>
          <w:sz w:val="22"/>
        </w:rPr>
      </w:pPr>
      <w:r>
        <w:rPr>
          <w:sz w:val="22"/>
        </w:rPr>
        <w:t xml:space="preserve">Employees at V.P. level and above, Human Resources staff, or recruiters for any area are not eligible to receive referral awards.  </w:t>
      </w:r>
    </w:p>
    <w:p>
      <w:pPr>
        <w:pStyle w:val="Normal"/>
        <w:numPr>
          <w:ilvl w:val="0"/>
          <w:numId w:val="2"/>
        </w:numPr>
        <w:ind w:hanging="360" w:start="360" w:end="0"/>
        <w:rPr>
          <w:sz w:val="22"/>
        </w:rPr>
      </w:pPr>
      <w:r>
        <w:rPr>
          <w:sz w:val="22"/>
        </w:rPr>
        <w:t>Positions normally filled through campus recruiting programs and associate/analyst programs are also excluded from the referral program.</w:t>
      </w:r>
    </w:p>
    <w:p>
      <w:pPr>
        <w:pStyle w:val="Normal"/>
        <w:numPr>
          <w:ilvl w:val="0"/>
          <w:numId w:val="2"/>
        </w:numPr>
        <w:ind w:hanging="360" w:start="360" w:end="0"/>
        <w:rPr>
          <w:sz w:val="22"/>
        </w:rPr>
      </w:pPr>
      <w:r>
        <w:rPr>
          <w:sz w:val="22"/>
        </w:rPr>
        <w:t>Supervising employees cannot refer individuals to be hired in their own department.</w:t>
      </w:r>
    </w:p>
    <w:p>
      <w:pPr>
        <w:pStyle w:val="Normal"/>
        <w:rPr>
          <w:sz w:val="16"/>
          <w:u w:val="single"/>
        </w:rPr>
      </w:pPr>
      <w:r>
        <w:rPr>
          <w:sz w:val="16"/>
          <w:u w:val="single"/>
        </w:rPr>
      </w:r>
    </w:p>
    <w:p>
      <w:pPr>
        <w:pStyle w:val="Normal"/>
        <w:rPr>
          <w:b/>
          <w:i/>
          <w:i/>
          <w:sz w:val="22"/>
          <w:u w:val="single"/>
        </w:rPr>
      </w:pPr>
      <w:r>
        <w:rPr>
          <w:b/>
          <w:i/>
          <w:sz w:val="22"/>
          <w:u w:val="single"/>
        </w:rPr>
        <w:t>Referral Procedures</w:t>
      </w:r>
    </w:p>
    <w:p>
      <w:pPr>
        <w:pStyle w:val="Normal"/>
        <w:rPr/>
      </w:pPr>
      <w:r>
        <w:rPr>
          <w:sz w:val="22"/>
        </w:rPr>
        <w:t>The Employee Referral form must be completed with the individual’s resume attached.  This information must be received by Human Resources before the individual is considered for hire.  If a referral is not hired within 6 months, the referral is considered closed under this program.   Complete and detach referral form below or access the form via the network in Word,</w:t>
      </w:r>
      <w:r>
        <w:rPr>
          <w:i/>
          <w:sz w:val="22"/>
        </w:rPr>
        <w:t xml:space="preserve"> </w:t>
      </w:r>
      <w:r>
        <w:rPr>
          <w:sz w:val="22"/>
        </w:rPr>
        <w:t>FILE/New/Corporate Library/Refrform.</w:t>
      </w:r>
    </w:p>
    <w:p>
      <w:pPr>
        <w:pStyle w:val="Normal"/>
        <w:rPr>
          <w:b/>
          <w:sz w:val="16"/>
        </w:rPr>
      </w:pPr>
      <w:r>
        <w:rPr>
          <w:b/>
          <w:sz w:val="16"/>
        </w:rPr>
      </w:r>
    </w:p>
    <w:p>
      <w:pPr>
        <w:pStyle w:val="Normal"/>
        <w:rPr/>
      </w:pPr>
      <w:r>
        <w:rPr>
          <w:b/>
          <w:i/>
          <w:sz w:val="22"/>
          <w:u w:val="single"/>
        </w:rPr>
        <w:t xml:space="preserve">Payment </w:t>
      </w:r>
      <w:r>
        <w:rPr>
          <w:b/>
          <w:i/>
          <w:sz w:val="22"/>
        </w:rPr>
        <w:t xml:space="preserve"> </w:t>
      </w:r>
    </w:p>
    <w:p>
      <w:pPr>
        <w:pStyle w:val="Normal"/>
        <w:rPr>
          <w:sz w:val="22"/>
        </w:rPr>
      </w:pPr>
      <w:r>
        <w:rPr>
          <w:sz w:val="22"/>
        </w:rPr>
        <w:t>Awards will be paid to the referring employee upon new employee’s completion of 60 days of employment.  The participating employee and the referred employee must both be active employees on the date any awards become due and payable.</w:t>
      </w:r>
    </w:p>
    <w:p>
      <w:pPr>
        <w:pStyle w:val="Normal"/>
        <w:rPr>
          <w:b/>
          <w:sz w:val="16"/>
        </w:rPr>
      </w:pPr>
      <w:r>
        <w:rPr>
          <w:b/>
          <w:sz w:val="16"/>
        </w:rPr>
      </w:r>
    </w:p>
    <w:p>
      <w:pPr>
        <w:pStyle w:val="Normal"/>
        <w:rPr>
          <w:b/>
          <w:i/>
          <w:i/>
          <w:sz w:val="22"/>
          <w:u w:val="single"/>
        </w:rPr>
      </w:pPr>
      <w:r>
        <w:rPr>
          <w:b/>
          <w:i/>
          <w:sz w:val="22"/>
          <w:u w:val="single"/>
        </w:rPr>
        <w:t>Interpretation</w:t>
      </w:r>
    </w:p>
    <w:p>
      <w:pPr>
        <w:pStyle w:val="BodyText3"/>
        <w:rPr/>
      </w:pPr>
      <w:r>
        <w:rPr/>
        <w:t>Any questions regarding the interpretation or the administration of this program should be referred to Human Resources.  This program does not constitute or imply a contract by any participating group and its employees.  Other than expressly provided above, this program creates no company obligation nor any individual obligation, right, privilege, term or condition of employment not otherwise established by law.  This program was adopted by the above mentioned Enron groups for their sole and exclusive use, and may be amended or terminated at their sole discretion at any time without prior notice.</w:t>
      </w:r>
    </w:p>
    <w:p>
      <w:pPr>
        <w:sectPr>
          <w:footerReference w:type="default" r:id="rId2"/>
          <w:type w:val="nextPage"/>
          <w:pgSz w:w="12240" w:h="15840"/>
          <w:pgMar w:left="720" w:right="432" w:gutter="0" w:header="0" w:top="270" w:footer="324" w:bottom="720"/>
          <w:pgNumType w:fmt="decimal"/>
          <w:formProt w:val="false"/>
          <w:textDirection w:val="lrTb"/>
          <w:docGrid w:type="default" w:linePitch="360" w:charSpace="0"/>
        </w:sectPr>
        <w:pStyle w:val="BodyText3"/>
        <w:rPr/>
      </w:pPr>
      <w:r>
        <w:rPr/>
      </w:r>
    </w:p>
    <w:p>
      <w:pPr>
        <w:pStyle w:val="Normal"/>
        <w:shd w:fill="E5E500" w:val="clear"/>
        <w:jc w:val="center"/>
        <w:rPr>
          <w:rFonts w:ascii="Tahoma" w:hAnsi="Tahoma" w:cs="Tahoma"/>
          <w:b/>
        </w:rPr>
      </w:pPr>
      <w:r>
        <w:rPr>
          <w:rFonts w:cs="Tahoma" w:ascii="Tahoma" w:hAnsi="Tahoma"/>
          <w:b/>
        </w:rPr>
        <w:t>ENRON EMPLOYEE REFERRAL INCENTIVE PROGRAM</w:t>
      </w:r>
    </w:p>
    <w:p>
      <w:pPr>
        <w:pStyle w:val="Normal"/>
        <w:shd w:fill="E5E500" w:val="clear"/>
        <w:jc w:val="center"/>
        <w:rPr>
          <w:rFonts w:ascii="Tahoma" w:hAnsi="Tahoma" w:cs="Tahoma"/>
          <w:b/>
        </w:rPr>
      </w:pPr>
      <w:r>
        <w:rPr>
          <w:rFonts w:cs="Tahoma" w:ascii="Tahoma" w:hAnsi="Tahoma"/>
          <w:b/>
        </w:rPr>
        <w:t>REFERRAL FORM</w:t>
      </w:r>
    </w:p>
    <w:p>
      <w:pPr>
        <w:pStyle w:val="Normal"/>
        <w:jc w:val="both"/>
        <w:rPr/>
      </w:pPr>
      <w:r>
        <w:rPr>
          <w:b/>
          <w:sz w:val="18"/>
        </w:rPr>
        <w:t xml:space="preserve">Note:  Please attach referral’s resume to this form </w:t>
      </w:r>
      <w:r>
        <w:rPr>
          <w:b/>
          <w:sz w:val="18"/>
          <w:u w:val="single"/>
        </w:rPr>
        <w:t>before</w:t>
      </w:r>
      <w:r>
        <w:rPr>
          <w:b/>
          <w:sz w:val="18"/>
        </w:rPr>
        <w:t xml:space="preserve"> forwarding to the HR Department </w:t>
      </w:r>
    </w:p>
    <w:p>
      <w:pPr>
        <w:pStyle w:val="Normal"/>
        <w:jc w:val="both"/>
        <w:rPr>
          <w:b/>
          <w:sz w:val="18"/>
        </w:rPr>
      </w:pPr>
      <w:r>
        <w:rPr>
          <w:b/>
          <w:sz w:val="18"/>
        </w:rPr>
      </w:r>
    </w:p>
    <w:tbl>
      <w:tblPr>
        <w:tblW w:w="9468" w:type="dxa"/>
        <w:jc w:val="start"/>
        <w:tblInd w:w="0" w:type="dxa"/>
        <w:tblLayout w:type="fixed"/>
        <w:tblCellMar>
          <w:top w:w="0" w:type="dxa"/>
          <w:start w:w="108" w:type="dxa"/>
          <w:bottom w:w="0" w:type="dxa"/>
          <w:end w:w="108" w:type="dxa"/>
        </w:tblCellMar>
      </w:tblPr>
      <w:tblGrid>
        <w:gridCol w:w="1818"/>
        <w:gridCol w:w="2880"/>
        <w:gridCol w:w="1260"/>
        <w:gridCol w:w="3510"/>
      </w:tblGrid>
      <w:tr>
        <w:trPr>
          <w:trHeight w:val="360" w:hRule="exact"/>
        </w:trPr>
        <w:tc>
          <w:tcPr>
            <w:tcW w:w="1818" w:type="dxa"/>
            <w:tcBorders/>
          </w:tcPr>
          <w:p>
            <w:pPr>
              <w:pStyle w:val="Normal"/>
              <w:jc w:val="both"/>
              <w:rPr>
                <w:b/>
                <w:sz w:val="20"/>
              </w:rPr>
            </w:pPr>
            <w:r>
              <w:rPr>
                <w:b/>
                <w:sz w:val="20"/>
              </w:rPr>
              <w:t>Employee Name:</w:t>
            </w:r>
          </w:p>
        </w:tc>
        <w:tc>
          <w:tcPr>
            <w:tcW w:w="2880" w:type="dxa"/>
            <w:tcBorders>
              <w:bottom w:val="single" w:sz="6" w:space="0" w:color="000000"/>
            </w:tcBorders>
          </w:tcPr>
          <w:p>
            <w:pPr>
              <w:pStyle w:val="Normal"/>
              <w:jc w:val="both"/>
              <w:rPr>
                <w:b/>
              </w:rPr>
            </w:pPr>
            <w:r>
              <w:rPr>
                <w:b/>
              </w:rPr>
              <w:t>Bjorn Hagelmann</w:t>
            </w:r>
          </w:p>
        </w:tc>
        <w:tc>
          <w:tcPr>
            <w:tcW w:w="1260" w:type="dxa"/>
            <w:tcBorders/>
          </w:tcPr>
          <w:p>
            <w:pPr>
              <w:pStyle w:val="Normal"/>
              <w:jc w:val="both"/>
              <w:rPr/>
            </w:pPr>
            <w:r>
              <w:rPr>
                <w:b/>
                <w:sz w:val="20"/>
              </w:rPr>
              <w:t>Job Title</w:t>
            </w:r>
            <w:r>
              <w:rPr>
                <w:b/>
              </w:rPr>
              <w:t xml:space="preserve">: </w:t>
            </w:r>
          </w:p>
        </w:tc>
        <w:tc>
          <w:tcPr>
            <w:tcW w:w="3510" w:type="dxa"/>
            <w:tcBorders/>
          </w:tcPr>
          <w:p>
            <w:pPr>
              <w:pStyle w:val="Normal"/>
              <w:jc w:val="both"/>
              <w:rPr>
                <w:b/>
              </w:rPr>
            </w:pPr>
            <w:r>
              <w:rPr>
                <w:b/>
              </w:rPr>
              <w:t>Manager</w:t>
            </w:r>
          </w:p>
        </w:tc>
      </w:tr>
      <w:tr>
        <w:trPr>
          <w:trHeight w:val="501" w:hRule="exact"/>
        </w:trPr>
        <w:tc>
          <w:tcPr>
            <w:tcW w:w="1818" w:type="dxa"/>
            <w:tcBorders/>
          </w:tcPr>
          <w:p>
            <w:pPr>
              <w:pStyle w:val="Normal"/>
              <w:rPr>
                <w:b/>
                <w:sz w:val="20"/>
              </w:rPr>
            </w:pPr>
            <w:r>
              <w:rPr>
                <w:b/>
                <w:sz w:val="20"/>
              </w:rPr>
              <w:t>Social Security #</w:t>
            </w:r>
          </w:p>
          <w:p>
            <w:pPr>
              <w:pStyle w:val="Normal"/>
              <w:rPr>
                <w:b/>
                <w:sz w:val="20"/>
              </w:rPr>
            </w:pPr>
            <w:r>
              <w:rPr>
                <w:b/>
                <w:sz w:val="20"/>
              </w:rPr>
              <w:t>(Required):</w:t>
            </w:r>
          </w:p>
        </w:tc>
        <w:tc>
          <w:tcPr>
            <w:tcW w:w="2880" w:type="dxa"/>
            <w:tcBorders>
              <w:bottom w:val="single" w:sz="6" w:space="0" w:color="000000"/>
            </w:tcBorders>
          </w:tcPr>
          <w:p>
            <w:pPr>
              <w:pStyle w:val="Normal"/>
              <w:ind w:start="-108" w:end="0"/>
              <w:jc w:val="both"/>
              <w:rPr>
                <w:b/>
              </w:rPr>
            </w:pPr>
            <w:r>
              <w:rPr>
                <w:b/>
              </w:rPr>
              <w:t>509-06-0189</w:t>
            </w:r>
          </w:p>
        </w:tc>
        <w:tc>
          <w:tcPr>
            <w:tcW w:w="1260" w:type="dxa"/>
            <w:tcBorders/>
          </w:tcPr>
          <w:p>
            <w:pPr>
              <w:pStyle w:val="Normal"/>
              <w:snapToGrid w:val="false"/>
              <w:jc w:val="both"/>
              <w:rPr>
                <w:b/>
              </w:rPr>
            </w:pPr>
            <w:r>
              <w:rPr>
                <w:b/>
              </w:rPr>
            </w:r>
          </w:p>
        </w:tc>
        <w:tc>
          <w:tcPr>
            <w:tcW w:w="3510" w:type="dxa"/>
            <w:tcBorders>
              <w:top w:val="single" w:sz="6" w:space="0" w:color="000000"/>
            </w:tcBorders>
          </w:tcPr>
          <w:p>
            <w:pPr>
              <w:pStyle w:val="Normal"/>
              <w:snapToGrid w:val="false"/>
              <w:jc w:val="both"/>
              <w:rPr>
                <w:b/>
              </w:rPr>
            </w:pPr>
            <w:r>
              <w:rPr>
                <w:b/>
              </w:rPr>
            </w:r>
          </w:p>
        </w:tc>
      </w:tr>
      <w:tr>
        <w:trPr>
          <w:trHeight w:val="360" w:hRule="exact"/>
        </w:trPr>
        <w:tc>
          <w:tcPr>
            <w:tcW w:w="1818" w:type="dxa"/>
            <w:tcBorders/>
          </w:tcPr>
          <w:p>
            <w:pPr>
              <w:pStyle w:val="Normal"/>
              <w:rPr/>
            </w:pPr>
            <w:r>
              <w:rPr>
                <w:b/>
                <w:sz w:val="20"/>
              </w:rPr>
              <w:t>Company</w:t>
            </w:r>
            <w:r>
              <w:rPr>
                <w:b/>
              </w:rPr>
              <w:t xml:space="preserve">:            </w:t>
            </w:r>
          </w:p>
        </w:tc>
        <w:tc>
          <w:tcPr>
            <w:tcW w:w="2880" w:type="dxa"/>
            <w:tcBorders>
              <w:bottom w:val="single" w:sz="6" w:space="0" w:color="000000"/>
            </w:tcBorders>
          </w:tcPr>
          <w:p>
            <w:pPr>
              <w:pStyle w:val="Normal"/>
              <w:ind w:start="-108" w:end="0"/>
              <w:jc w:val="both"/>
              <w:rPr>
                <w:b/>
              </w:rPr>
            </w:pPr>
            <w:r>
              <w:rPr>
                <w:b/>
              </w:rPr>
              <w:t>Enron Corp.</w:t>
            </w:r>
          </w:p>
        </w:tc>
        <w:tc>
          <w:tcPr>
            <w:tcW w:w="1260" w:type="dxa"/>
            <w:tcBorders/>
          </w:tcPr>
          <w:p>
            <w:pPr>
              <w:pStyle w:val="Normal"/>
              <w:jc w:val="both"/>
              <w:rPr/>
            </w:pPr>
            <w:r>
              <w:rPr>
                <w:b/>
                <w:sz w:val="20"/>
              </w:rPr>
              <w:t>Dept No</w:t>
            </w:r>
            <w:r>
              <w:rPr>
                <w:b/>
              </w:rPr>
              <w:t>.:</w:t>
            </w:r>
          </w:p>
        </w:tc>
        <w:tc>
          <w:tcPr>
            <w:tcW w:w="3510" w:type="dxa"/>
            <w:tcBorders>
              <w:bottom w:val="single" w:sz="6" w:space="0" w:color="000000"/>
            </w:tcBorders>
          </w:tcPr>
          <w:p>
            <w:pPr>
              <w:pStyle w:val="Normal"/>
              <w:jc w:val="both"/>
              <w:rPr>
                <w:b/>
              </w:rPr>
            </w:pPr>
            <w:r>
              <w:rPr>
                <w:b/>
              </w:rPr>
              <w:t>1281</w:t>
            </w:r>
          </w:p>
        </w:tc>
      </w:tr>
      <w:tr>
        <w:trPr>
          <w:trHeight w:val="360" w:hRule="exact"/>
        </w:trPr>
        <w:tc>
          <w:tcPr>
            <w:tcW w:w="1818" w:type="dxa"/>
            <w:tcBorders/>
          </w:tcPr>
          <w:p>
            <w:pPr>
              <w:pStyle w:val="Normal"/>
              <w:jc w:val="both"/>
              <w:rPr>
                <w:b/>
                <w:sz w:val="20"/>
              </w:rPr>
            </w:pPr>
            <w:r>
              <w:rPr>
                <w:b/>
                <w:sz w:val="20"/>
              </w:rPr>
              <w:t>Office Phone No.:</w:t>
            </w:r>
          </w:p>
        </w:tc>
        <w:tc>
          <w:tcPr>
            <w:tcW w:w="2880" w:type="dxa"/>
            <w:tcBorders>
              <w:bottom w:val="single" w:sz="6" w:space="0" w:color="000000"/>
            </w:tcBorders>
          </w:tcPr>
          <w:p>
            <w:pPr>
              <w:pStyle w:val="Normal"/>
              <w:jc w:val="both"/>
              <w:rPr>
                <w:b/>
                <w:sz w:val="20"/>
              </w:rPr>
            </w:pPr>
            <w:r>
              <w:rPr>
                <w:b/>
                <w:sz w:val="20"/>
              </w:rPr>
              <w:t>713 345 7984</w:t>
            </w:r>
          </w:p>
        </w:tc>
        <w:tc>
          <w:tcPr>
            <w:tcW w:w="1260" w:type="dxa"/>
            <w:tcBorders/>
          </w:tcPr>
          <w:p>
            <w:pPr>
              <w:pStyle w:val="Normal"/>
              <w:jc w:val="both"/>
              <w:rPr>
                <w:b/>
                <w:sz w:val="20"/>
              </w:rPr>
            </w:pPr>
            <w:r>
              <w:rPr>
                <w:b/>
                <w:sz w:val="20"/>
              </w:rPr>
              <w:t>Location:</w:t>
            </w:r>
          </w:p>
        </w:tc>
        <w:tc>
          <w:tcPr>
            <w:tcW w:w="3510" w:type="dxa"/>
            <w:tcBorders>
              <w:bottom w:val="single" w:sz="6" w:space="0" w:color="000000"/>
            </w:tcBorders>
          </w:tcPr>
          <w:p>
            <w:pPr>
              <w:pStyle w:val="Normal"/>
              <w:jc w:val="both"/>
              <w:rPr>
                <w:b/>
                <w:sz w:val="20"/>
              </w:rPr>
            </w:pPr>
            <w:r>
              <w:rPr>
                <w:b/>
                <w:sz w:val="20"/>
              </w:rPr>
              <w:t>EB2887</w:t>
            </w:r>
          </w:p>
        </w:tc>
      </w:tr>
    </w:tbl>
    <w:p>
      <w:pPr>
        <w:pStyle w:val="Normal"/>
        <w:jc w:val="both"/>
        <w:rPr>
          <w:b/>
          <w:sz w:val="20"/>
        </w:rPr>
      </w:pPr>
      <w:r>
        <w:rPr>
          <w:b/>
          <w:sz w:val="20"/>
        </w:rPr>
      </w:r>
    </w:p>
    <w:tbl>
      <w:tblPr>
        <w:tblW w:w="10008" w:type="dxa"/>
        <w:jc w:val="start"/>
        <w:tblInd w:w="0" w:type="dxa"/>
        <w:tblLayout w:type="fixed"/>
        <w:tblCellMar>
          <w:top w:w="0" w:type="dxa"/>
          <w:start w:w="108" w:type="dxa"/>
          <w:bottom w:w="0" w:type="dxa"/>
          <w:end w:w="108" w:type="dxa"/>
        </w:tblCellMar>
      </w:tblPr>
      <w:tblGrid>
        <w:gridCol w:w="2178"/>
        <w:gridCol w:w="4050"/>
        <w:gridCol w:w="2340"/>
        <w:gridCol w:w="1440"/>
      </w:tblGrid>
      <w:tr>
        <w:trPr>
          <w:trHeight w:val="320" w:hRule="exact"/>
        </w:trPr>
        <w:tc>
          <w:tcPr>
            <w:tcW w:w="2178" w:type="dxa"/>
            <w:tcBorders>
              <w:top w:val="single" w:sz="6" w:space="0" w:color="000000"/>
              <w:start w:val="single" w:sz="6" w:space="0" w:color="000000"/>
              <w:bottom w:val="single" w:sz="6" w:space="0" w:color="000000"/>
              <w:end w:val="single" w:sz="6" w:space="0" w:color="000000"/>
            </w:tcBorders>
          </w:tcPr>
          <w:p>
            <w:pPr>
              <w:pStyle w:val="Normal"/>
              <w:jc w:val="both"/>
              <w:rPr>
                <w:b/>
                <w:sz w:val="20"/>
              </w:rPr>
            </w:pPr>
            <w:r>
              <w:rPr>
                <w:b/>
                <w:sz w:val="20"/>
              </w:rPr>
              <w:t>Referral Information:</w:t>
            </w:r>
          </w:p>
        </w:tc>
        <w:tc>
          <w:tcPr>
            <w:tcW w:w="4050" w:type="dxa"/>
            <w:tcBorders/>
          </w:tcPr>
          <w:p>
            <w:pPr>
              <w:pStyle w:val="Normal"/>
              <w:snapToGrid w:val="false"/>
              <w:jc w:val="both"/>
              <w:rPr>
                <w:b/>
                <w:sz w:val="20"/>
              </w:rPr>
            </w:pPr>
            <w:r>
              <w:rPr>
                <w:b/>
                <w:sz w:val="20"/>
              </w:rPr>
            </w:r>
          </w:p>
        </w:tc>
        <w:tc>
          <w:tcPr>
            <w:tcW w:w="2340" w:type="dxa"/>
            <w:tcBorders/>
          </w:tcPr>
          <w:p>
            <w:pPr>
              <w:pStyle w:val="Normal"/>
              <w:snapToGrid w:val="false"/>
              <w:jc w:val="both"/>
              <w:rPr>
                <w:b/>
                <w:sz w:val="20"/>
              </w:rPr>
            </w:pPr>
            <w:r>
              <w:rPr>
                <w:b/>
                <w:sz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b/>
                <w:sz w:val="20"/>
              </w:rPr>
            </w:pPr>
            <w:r>
              <w:rPr>
                <w:b/>
                <w:sz w:val="20"/>
              </w:rPr>
              <w:t>Relationship:</w:t>
            </w:r>
          </w:p>
        </w:tc>
      </w:tr>
    </w:tbl>
    <w:p>
      <w:pPr>
        <w:pStyle w:val="Normal"/>
        <w:rPr>
          <w:sz w:val="16"/>
        </w:rPr>
      </w:pPr>
      <w:r>
        <w:rPr>
          <w:sz w:val="16"/>
        </w:rPr>
      </w:r>
    </w:p>
    <w:tbl>
      <w:tblPr>
        <w:tblW w:w="10998" w:type="dxa"/>
        <w:jc w:val="start"/>
        <w:tblInd w:w="0" w:type="dxa"/>
        <w:tblLayout w:type="fixed"/>
        <w:tblCellMar>
          <w:top w:w="0" w:type="dxa"/>
          <w:start w:w="108" w:type="dxa"/>
          <w:bottom w:w="0" w:type="dxa"/>
          <w:end w:w="108" w:type="dxa"/>
        </w:tblCellMar>
      </w:tblPr>
      <w:tblGrid>
        <w:gridCol w:w="2088"/>
        <w:gridCol w:w="2250"/>
        <w:gridCol w:w="1890"/>
        <w:gridCol w:w="1980"/>
        <w:gridCol w:w="360"/>
        <w:gridCol w:w="360"/>
        <w:gridCol w:w="2070"/>
      </w:tblGrid>
      <w:tr>
        <w:trPr>
          <w:trHeight w:val="405" w:hRule="exact"/>
        </w:trPr>
        <w:tc>
          <w:tcPr>
            <w:tcW w:w="2088" w:type="dxa"/>
            <w:tcBorders/>
          </w:tcPr>
          <w:p>
            <w:pPr>
              <w:pStyle w:val="Normal"/>
              <w:jc w:val="both"/>
              <w:rPr>
                <w:b/>
                <w:sz w:val="20"/>
              </w:rPr>
            </w:pPr>
            <w:r>
              <w:rPr>
                <w:b/>
                <w:sz w:val="20"/>
              </w:rPr>
              <w:t>Referral Name:</w:t>
            </w:r>
          </w:p>
        </w:tc>
        <w:tc>
          <w:tcPr>
            <w:tcW w:w="2250" w:type="dxa"/>
            <w:tcBorders>
              <w:bottom w:val="single" w:sz="6" w:space="0" w:color="000000"/>
            </w:tcBorders>
          </w:tcPr>
          <w:p>
            <w:pPr>
              <w:pStyle w:val="Normal"/>
              <w:jc w:val="both"/>
              <w:rPr>
                <w:b/>
                <w:sz w:val="20"/>
              </w:rPr>
            </w:pPr>
            <w:r>
              <w:rPr/>
              <w:t>Philip F. Roan</w:t>
            </w:r>
          </w:p>
        </w:tc>
        <w:tc>
          <w:tcPr>
            <w:tcW w:w="1890" w:type="dxa"/>
            <w:tcBorders/>
          </w:tcPr>
          <w:p>
            <w:pPr>
              <w:pStyle w:val="Normal"/>
              <w:jc w:val="both"/>
              <w:rPr>
                <w:b/>
                <w:sz w:val="18"/>
              </w:rPr>
            </w:pPr>
            <w:r>
              <w:rPr>
                <w:b/>
                <w:sz w:val="18"/>
              </w:rPr>
              <w:t>Social Security #</w:t>
            </w:r>
          </w:p>
          <w:p>
            <w:pPr>
              <w:pStyle w:val="Normal"/>
              <w:jc w:val="both"/>
              <w:rPr>
                <w:b/>
                <w:sz w:val="18"/>
              </w:rPr>
            </w:pPr>
            <w:r>
              <w:rPr>
                <w:b/>
                <w:sz w:val="18"/>
              </w:rPr>
              <w:t>(Required):</w:t>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b/>
                <w:sz w:val="20"/>
              </w:rPr>
              <w:t>X</w:t>
            </w:r>
          </w:p>
        </w:tc>
        <w:tc>
          <w:tcPr>
            <w:tcW w:w="2070" w:type="dxa"/>
            <w:tcBorders/>
          </w:tcPr>
          <w:p>
            <w:pPr>
              <w:pStyle w:val="Normal"/>
              <w:jc w:val="both"/>
              <w:rPr>
                <w:b/>
                <w:sz w:val="20"/>
              </w:rPr>
            </w:pPr>
            <w:r>
              <w:rPr>
                <w:b/>
                <w:sz w:val="20"/>
              </w:rPr>
              <w:t>Previous Co-Worker</w:t>
            </w:r>
          </w:p>
        </w:tc>
      </w:tr>
      <w:tr>
        <w:trPr>
          <w:trHeight w:val="360" w:hRule="exact"/>
        </w:trPr>
        <w:tc>
          <w:tcPr>
            <w:tcW w:w="2088" w:type="dxa"/>
            <w:tcBorders/>
          </w:tcPr>
          <w:p>
            <w:pPr>
              <w:pStyle w:val="Normal"/>
              <w:jc w:val="both"/>
              <w:rPr>
                <w:b/>
                <w:sz w:val="20"/>
              </w:rPr>
            </w:pPr>
            <w:r>
              <w:rPr>
                <w:b/>
                <w:sz w:val="20"/>
              </w:rPr>
              <w:t>Current Employer</w:t>
            </w:r>
          </w:p>
        </w:tc>
        <w:tc>
          <w:tcPr>
            <w:tcW w:w="2250" w:type="dxa"/>
            <w:tcBorders>
              <w:bottom w:val="single" w:sz="6" w:space="0" w:color="000000"/>
            </w:tcBorders>
          </w:tcPr>
          <w:p>
            <w:pPr>
              <w:pStyle w:val="Normal"/>
              <w:jc w:val="both"/>
              <w:rPr>
                <w:b/>
                <w:sz w:val="20"/>
              </w:rPr>
            </w:pPr>
            <w:r>
              <w:rPr>
                <w:b/>
                <w:sz w:val="20"/>
              </w:rPr>
              <w:t>Koch Ind.</w:t>
            </w:r>
          </w:p>
        </w:tc>
        <w:tc>
          <w:tcPr>
            <w:tcW w:w="1890" w:type="dxa"/>
            <w:tcBorders/>
          </w:tcPr>
          <w:p>
            <w:pPr>
              <w:pStyle w:val="Normal"/>
              <w:snapToGrid w:val="false"/>
              <w:jc w:val="both"/>
              <w:rPr>
                <w:b/>
                <w:sz w:val="20"/>
              </w:rPr>
            </w:pPr>
            <w:r>
              <w:rPr>
                <w:b/>
                <w:sz w:val="20"/>
              </w:rPr>
            </w:r>
          </w:p>
        </w:tc>
        <w:tc>
          <w:tcPr>
            <w:tcW w:w="1980" w:type="dxa"/>
            <w:tcBorders>
              <w:top w:val="single" w:sz="6" w:space="0" w:color="000000"/>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College-mate</w:t>
            </w:r>
          </w:p>
        </w:tc>
      </w:tr>
      <w:tr>
        <w:trPr>
          <w:trHeight w:val="360" w:hRule="exact"/>
        </w:trPr>
        <w:tc>
          <w:tcPr>
            <w:tcW w:w="2088" w:type="dxa"/>
            <w:tcBorders/>
          </w:tcPr>
          <w:p>
            <w:pPr>
              <w:pStyle w:val="Normal"/>
              <w:jc w:val="both"/>
              <w:rPr>
                <w:b/>
                <w:sz w:val="20"/>
              </w:rPr>
            </w:pPr>
            <w:r>
              <w:rPr>
                <w:b/>
                <w:sz w:val="20"/>
              </w:rPr>
              <w:t>Work Phone #:</w:t>
            </w:r>
          </w:p>
        </w:tc>
        <w:tc>
          <w:tcPr>
            <w:tcW w:w="2250" w:type="dxa"/>
            <w:tcBorders/>
          </w:tcPr>
          <w:p>
            <w:pPr>
              <w:pStyle w:val="Normal"/>
              <w:jc w:val="both"/>
              <w:rPr>
                <w:b/>
                <w:sz w:val="20"/>
              </w:rPr>
            </w:pPr>
            <w:r>
              <w:rPr/>
              <w:t>(713) 544-7469</w:t>
            </w:r>
          </w:p>
        </w:tc>
        <w:tc>
          <w:tcPr>
            <w:tcW w:w="1890" w:type="dxa"/>
            <w:tcBorders/>
          </w:tcPr>
          <w:p>
            <w:pPr>
              <w:pStyle w:val="Normal"/>
              <w:jc w:val="both"/>
              <w:rPr>
                <w:b/>
                <w:sz w:val="20"/>
              </w:rPr>
            </w:pPr>
            <w:r>
              <w:rPr>
                <w:b/>
                <w:sz w:val="20"/>
              </w:rPr>
              <w:t>Date:</w:t>
            </w:r>
          </w:p>
        </w:tc>
        <w:tc>
          <w:tcPr>
            <w:tcW w:w="1980" w:type="dxa"/>
            <w:tcBorders/>
          </w:tcPr>
          <w:p>
            <w:pPr>
              <w:pStyle w:val="Normal"/>
              <w:jc w:val="both"/>
              <w:rPr>
                <w:b/>
                <w:sz w:val="20"/>
                <w:u w:val="single"/>
              </w:rPr>
            </w:pPr>
            <w:r>
              <w:rPr>
                <w:b/>
                <w:sz w:val="20"/>
                <w:u w:val="single"/>
              </w:rPr>
              <w:t>05/30/2000</w:t>
            </w:r>
          </w:p>
        </w:tc>
        <w:tc>
          <w:tcPr>
            <w:tcW w:w="360" w:type="dxa"/>
            <w:tcBorders/>
          </w:tcPr>
          <w:p>
            <w:pPr>
              <w:pStyle w:val="Normal"/>
              <w:snapToGrid w:val="false"/>
              <w:jc w:val="both"/>
              <w:rPr>
                <w:b/>
                <w:sz w:val="20"/>
                <w:u w:val="single"/>
              </w:rPr>
            </w:pPr>
            <w:r>
              <w:rPr>
                <w:b/>
                <w:sz w:val="20"/>
                <w:u w:val="single"/>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Heading4"/>
              <w:ind w:hanging="0" w:start="0"/>
              <w:jc w:val="start"/>
              <w:rPr>
                <w:i w:val="false"/>
                <w:i w:val="false"/>
                <w:sz w:val="20"/>
              </w:rPr>
            </w:pPr>
            <w:r>
              <w:rPr>
                <w:i w:val="false"/>
                <w:sz w:val="20"/>
              </w:rPr>
              <w:t>Family Member</w:t>
            </w:r>
          </w:p>
        </w:tc>
      </w:tr>
      <w:tr>
        <w:trPr>
          <w:trHeight w:val="360" w:hRule="exact"/>
        </w:trPr>
        <w:tc>
          <w:tcPr>
            <w:tcW w:w="2088" w:type="dxa"/>
            <w:tcBorders/>
          </w:tcPr>
          <w:p>
            <w:pPr>
              <w:pStyle w:val="Normal"/>
              <w:jc w:val="both"/>
              <w:rPr>
                <w:b/>
                <w:sz w:val="20"/>
              </w:rPr>
            </w:pPr>
            <w:r>
              <w:rPr>
                <w:b/>
                <w:sz w:val="20"/>
              </w:rPr>
              <w:t>Home Phone #:</w:t>
            </w:r>
          </w:p>
        </w:tc>
        <w:tc>
          <w:tcPr>
            <w:tcW w:w="2250" w:type="dxa"/>
            <w:tcBorders>
              <w:top w:val="single" w:sz="6" w:space="0" w:color="000000"/>
            </w:tcBorders>
          </w:tcPr>
          <w:p>
            <w:pPr>
              <w:pStyle w:val="Normal"/>
              <w:rPr>
                <w:b/>
              </w:rPr>
            </w:pPr>
            <w:r>
              <w:rPr/>
              <w:t>(713) 759-1741</w:t>
            </w:r>
          </w:p>
          <w:p>
            <w:pPr>
              <w:pStyle w:val="Normal"/>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op w:val="single" w:sz="6" w:space="0" w:color="000000"/>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Neighbor</w:t>
            </w:r>
          </w:p>
        </w:tc>
      </w:tr>
      <w:tr>
        <w:trPr>
          <w:trHeight w:val="360" w:hRule="exact"/>
        </w:trPr>
        <w:tc>
          <w:tcPr>
            <w:tcW w:w="2088" w:type="dxa"/>
            <w:tcBorders/>
          </w:tcPr>
          <w:p>
            <w:pPr>
              <w:pStyle w:val="Normal"/>
              <w:jc w:val="both"/>
              <w:rPr>
                <w:b/>
                <w:sz w:val="20"/>
              </w:rPr>
            </w:pPr>
            <w:r>
              <w:rPr>
                <w:b/>
                <w:sz w:val="20"/>
              </w:rPr>
              <w:t>City, State:</w:t>
            </w:r>
          </w:p>
        </w:tc>
        <w:tc>
          <w:tcPr>
            <w:tcW w:w="2250" w:type="dxa"/>
            <w:tcBorders>
              <w:top w:val="single" w:sz="6" w:space="0" w:color="000000"/>
            </w:tcBorders>
          </w:tcPr>
          <w:p>
            <w:pPr>
              <w:pStyle w:val="Normal"/>
              <w:jc w:val="both"/>
              <w:rPr>
                <w:b/>
                <w:sz w:val="20"/>
              </w:rPr>
            </w:pPr>
            <w:r>
              <w:rPr>
                <w:b/>
                <w:sz w:val="20"/>
              </w:rPr>
              <w:t>Houston TX</w:t>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b/>
                <w:sz w:val="20"/>
              </w:rPr>
              <w:t>X</w:t>
            </w:r>
          </w:p>
        </w:tc>
        <w:tc>
          <w:tcPr>
            <w:tcW w:w="2070" w:type="dxa"/>
            <w:tcBorders/>
          </w:tcPr>
          <w:p>
            <w:pPr>
              <w:pStyle w:val="Normal"/>
              <w:jc w:val="both"/>
              <w:rPr>
                <w:b/>
                <w:sz w:val="20"/>
                <w:u w:val="single"/>
              </w:rPr>
            </w:pPr>
            <w:r>
              <w:rPr>
                <w:b/>
                <w:sz w:val="20"/>
              </w:rPr>
              <w:t>Friend</w:t>
            </w:r>
          </w:p>
        </w:tc>
      </w:tr>
      <w:tr>
        <w:trPr>
          <w:trHeight w:val="360" w:hRule="exact"/>
        </w:trPr>
        <w:tc>
          <w:tcPr>
            <w:tcW w:w="2088" w:type="dxa"/>
            <w:tcBorders/>
          </w:tcPr>
          <w:p>
            <w:pPr>
              <w:pStyle w:val="Normal"/>
              <w:snapToGrid w:val="false"/>
              <w:jc w:val="both"/>
              <w:rPr>
                <w:b/>
                <w:sz w:val="20"/>
                <w:u w:val="single"/>
              </w:rPr>
            </w:pPr>
            <w:r>
              <w:rPr>
                <w:b/>
                <w:sz w:val="20"/>
                <w:u w:val="single"/>
              </w:rPr>
            </w:r>
          </w:p>
        </w:tc>
        <w:tc>
          <w:tcPr>
            <w:tcW w:w="2250" w:type="dxa"/>
            <w:tcBorders>
              <w:top w:val="single" w:sz="6" w:space="0" w:color="000000"/>
            </w:tcBorders>
          </w:tcPr>
          <w:p>
            <w:pPr>
              <w:pStyle w:val="Normal"/>
              <w:snapToGrid w:val="false"/>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Other</w:t>
            </w:r>
          </w:p>
        </w:tc>
      </w:tr>
      <w:tr>
        <w:trPr>
          <w:trHeight w:val="360" w:hRule="exact"/>
        </w:trPr>
        <w:tc>
          <w:tcPr>
            <w:tcW w:w="2088" w:type="dxa"/>
            <w:tcBorders>
              <w:top w:val="single" w:sz="6" w:space="0" w:color="000000"/>
              <w:start w:val="single" w:sz="6" w:space="0" w:color="000000"/>
              <w:bottom w:val="single" w:sz="6" w:space="0" w:color="000000"/>
            </w:tcBorders>
          </w:tcPr>
          <w:p>
            <w:pPr>
              <w:pStyle w:val="Normal"/>
              <w:jc w:val="both"/>
              <w:rPr>
                <w:b/>
                <w:sz w:val="20"/>
              </w:rPr>
            </w:pPr>
            <w:r>
              <w:rPr>
                <w:b/>
                <w:sz w:val="20"/>
              </w:rPr>
              <w:t>Recruiter:</w:t>
            </w:r>
          </w:p>
        </w:tc>
        <w:tc>
          <w:tcPr>
            <w:tcW w:w="2250" w:type="dxa"/>
            <w:tcBorders>
              <w:top w:val="single" w:sz="6" w:space="0" w:color="000000"/>
              <w:bottom w:val="single" w:sz="6" w:space="0" w:color="000000"/>
            </w:tcBorders>
          </w:tcPr>
          <w:p>
            <w:pPr>
              <w:pStyle w:val="Normal"/>
              <w:snapToGrid w:val="false"/>
              <w:jc w:val="both"/>
              <w:rPr>
                <w:b/>
                <w:sz w:val="20"/>
              </w:rPr>
            </w:pPr>
            <w:r>
              <w:rPr>
                <w:b/>
                <w:sz w:val="20"/>
              </w:rPr>
            </w:r>
          </w:p>
        </w:tc>
        <w:tc>
          <w:tcPr>
            <w:tcW w:w="1890" w:type="dxa"/>
            <w:tcBorders>
              <w:top w:val="single" w:sz="6" w:space="0" w:color="000000"/>
              <w:start w:val="single" w:sz="6" w:space="0" w:color="000000"/>
              <w:bottom w:val="single" w:sz="6" w:space="0" w:color="000000"/>
            </w:tcBorders>
          </w:tcPr>
          <w:p>
            <w:pPr>
              <w:pStyle w:val="Normal"/>
              <w:jc w:val="both"/>
              <w:rPr>
                <w:b/>
                <w:sz w:val="20"/>
              </w:rPr>
            </w:pPr>
            <w:r>
              <w:rPr>
                <w:b/>
                <w:sz w:val="20"/>
              </w:rPr>
              <w:t>Hiring Company:</w:t>
            </w:r>
          </w:p>
        </w:tc>
        <w:tc>
          <w:tcPr>
            <w:tcW w:w="1980" w:type="dxa"/>
            <w:tcBorders>
              <w:top w:val="single" w:sz="6" w:space="0" w:color="000000"/>
              <w:bottom w:val="single" w:sz="6" w:space="0" w:color="000000"/>
              <w:end w:val="single" w:sz="6" w:space="0" w:color="000000"/>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r>
        <w:trPr>
          <w:trHeight w:val="480" w:hRule="exact"/>
        </w:trPr>
        <w:tc>
          <w:tcPr>
            <w:tcW w:w="2088" w:type="dxa"/>
            <w:tcBorders>
              <w:start w:val="single" w:sz="6" w:space="0" w:color="000000"/>
              <w:bottom w:val="single" w:sz="6" w:space="0" w:color="000000"/>
            </w:tcBorders>
          </w:tcPr>
          <w:p>
            <w:pPr>
              <w:pStyle w:val="Normal"/>
              <w:rPr>
                <w:b/>
                <w:sz w:val="20"/>
              </w:rPr>
            </w:pPr>
            <w:r>
              <w:rPr>
                <w:b/>
                <w:sz w:val="20"/>
              </w:rPr>
              <w:t>Referring for which position:</w:t>
            </w:r>
          </w:p>
        </w:tc>
        <w:tc>
          <w:tcPr>
            <w:tcW w:w="2250" w:type="dxa"/>
            <w:tcBorders>
              <w:bottom w:val="single" w:sz="6" w:space="0" w:color="000000"/>
            </w:tcBorders>
          </w:tcPr>
          <w:p>
            <w:pPr>
              <w:pStyle w:val="Normal"/>
              <w:snapToGrid w:val="false"/>
              <w:jc w:val="both"/>
              <w:rPr>
                <w:b/>
                <w:sz w:val="20"/>
              </w:rPr>
            </w:pPr>
            <w:r>
              <w:rPr>
                <w:b/>
                <w:sz w:val="20"/>
              </w:rPr>
            </w:r>
          </w:p>
        </w:tc>
        <w:tc>
          <w:tcPr>
            <w:tcW w:w="1890" w:type="dxa"/>
            <w:tcBorders>
              <w:top w:val="single" w:sz="6" w:space="0" w:color="000000"/>
              <w:start w:val="single" w:sz="6" w:space="0" w:color="000000"/>
              <w:bottom w:val="single" w:sz="6" w:space="0" w:color="000000"/>
            </w:tcBorders>
          </w:tcPr>
          <w:p>
            <w:pPr>
              <w:pStyle w:val="Normal"/>
              <w:jc w:val="both"/>
              <w:rPr>
                <w:b/>
                <w:sz w:val="20"/>
              </w:rPr>
            </w:pPr>
            <w:r>
              <w:rPr>
                <w:b/>
                <w:sz w:val="20"/>
              </w:rPr>
              <w:t>Job Requisition #:</w:t>
            </w:r>
          </w:p>
        </w:tc>
        <w:tc>
          <w:tcPr>
            <w:tcW w:w="1980" w:type="dxa"/>
            <w:tcBorders>
              <w:bottom w:val="single" w:sz="6" w:space="0" w:color="000000"/>
              <w:end w:val="single" w:sz="6" w:space="0" w:color="000000"/>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r>
        <w:trPr>
          <w:trHeight w:val="360" w:hRule="exact"/>
        </w:trPr>
        <w:tc>
          <w:tcPr>
            <w:tcW w:w="2088" w:type="dxa"/>
            <w:tcBorders/>
          </w:tcPr>
          <w:p>
            <w:pPr>
              <w:pStyle w:val="Normal"/>
              <w:snapToGrid w:val="false"/>
              <w:jc w:val="both"/>
              <w:rPr>
                <w:b/>
                <w:sz w:val="20"/>
              </w:rPr>
            </w:pPr>
            <w:r>
              <w:rPr>
                <w:b/>
                <w:sz w:val="20"/>
              </w:rPr>
            </w:r>
          </w:p>
        </w:tc>
        <w:tc>
          <w:tcPr>
            <w:tcW w:w="2250" w:type="dxa"/>
            <w:tcBorders>
              <w:top w:val="single" w:sz="6" w:space="0" w:color="000000"/>
            </w:tcBorders>
          </w:tcPr>
          <w:p>
            <w:pPr>
              <w:pStyle w:val="Normal"/>
              <w:snapToGrid w:val="false"/>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bl>
    <w:p>
      <w:pPr>
        <w:pStyle w:val="Normal"/>
        <w:pBdr>
          <w:bottom w:val="single" w:sz="30" w:space="1" w:color="000000"/>
        </w:pBdr>
        <w:jc w:val="both"/>
        <w:rPr>
          <w:b/>
          <w:sz w:val="20"/>
        </w:rPr>
      </w:pPr>
      <w:r>
        <w:rPr>
          <w:b/>
          <w:sz w:val="20"/>
        </w:rPr>
      </w:r>
    </w:p>
    <w:p>
      <w:pPr>
        <w:pStyle w:val="Normal"/>
        <w:pBdr>
          <w:bottom w:val="single" w:sz="30" w:space="1" w:color="000000"/>
        </w:pBdr>
        <w:jc w:val="center"/>
        <w:rPr/>
      </w:pPr>
      <w:r>
        <w:rPr>
          <w:b/>
          <w:color w:val="FF0000"/>
          <w:sz w:val="18"/>
        </w:rPr>
        <w:t xml:space="preserve">Attach resume to this form and submit via e:mail to </w:t>
      </w:r>
      <w:r>
        <w:rPr>
          <w:b/>
          <w:i/>
          <w:color w:val="FF0000"/>
          <w:sz w:val="18"/>
          <w:u w:val="single"/>
        </w:rPr>
        <w:t>Enron Employee Referrals</w:t>
      </w:r>
      <w:r>
        <w:rPr>
          <w:b/>
          <w:color w:val="FF0000"/>
          <w:sz w:val="18"/>
          <w:u w:val="single"/>
        </w:rPr>
        <w:t xml:space="preserve"> </w:t>
      </w:r>
      <w:r>
        <w:rPr>
          <w:b/>
          <w:color w:val="FF0000"/>
          <w:sz w:val="18"/>
        </w:rPr>
        <w:t>or send to Employee Referrals, EB3625.</w:t>
      </w:r>
    </w:p>
    <w:p>
      <w:pPr>
        <w:pStyle w:val="Normal"/>
        <w:pBdr>
          <w:bottom w:val="single" w:sz="30" w:space="1" w:color="000000"/>
        </w:pBdr>
        <w:jc w:val="center"/>
        <w:rPr/>
      </w:pPr>
      <w:r>
        <w:rPr/>
        <w:t>All resumes submitted electronically must be in Word compatible format.</w:t>
      </w:r>
    </w:p>
    <w:tbl>
      <w:tblPr>
        <w:tblW w:w="7110" w:type="dxa"/>
        <w:jc w:val="start"/>
        <w:tblInd w:w="108" w:type="dxa"/>
        <w:tblLayout w:type="fixed"/>
        <w:tblCellMar>
          <w:top w:w="0" w:type="dxa"/>
          <w:start w:w="108" w:type="dxa"/>
          <w:bottom w:w="0" w:type="dxa"/>
          <w:end w:w="108" w:type="dxa"/>
        </w:tblCellMar>
      </w:tblPr>
      <w:tblGrid>
        <w:gridCol w:w="7110"/>
      </w:tblGrid>
      <w:tr>
        <w:trPr/>
        <w:tc>
          <w:tcPr>
            <w:tcW w:w="7110" w:type="dxa"/>
            <w:tcBorders/>
            <w:shd w:fill="E5E5E5" w:val="clear"/>
          </w:tcPr>
          <w:p>
            <w:pPr>
              <w:pStyle w:val="Normal"/>
              <w:jc w:val="both"/>
              <w:rPr>
                <w:rFonts w:ascii="Wide Latin" w:hAnsi="Wide Latin" w:cs="Wide Latin"/>
                <w:b/>
                <w:i/>
                <w:i/>
                <w:sz w:val="20"/>
              </w:rPr>
            </w:pPr>
            <w:r>
              <w:rPr>
                <w:rFonts w:cs="Wide Latin" w:ascii="Wide Latin" w:hAnsi="Wide Latin"/>
                <w:b/>
                <w:i/>
                <w:sz w:val="20"/>
              </w:rPr>
              <w:t>To be Completed by Human Resources</w:t>
            </w:r>
          </w:p>
        </w:tc>
      </w:tr>
    </w:tbl>
    <w:p>
      <w:pPr>
        <w:pStyle w:val="Normal"/>
        <w:jc w:val="both"/>
        <w:rPr>
          <w:b/>
        </w:rPr>
      </w:pPr>
      <w:r>
        <w:rPr>
          <w:b/>
        </w:rPr>
      </w:r>
    </w:p>
    <w:tbl>
      <w:tblPr>
        <w:tblW w:w="8732" w:type="dxa"/>
        <w:jc w:val="start"/>
        <w:tblInd w:w="108" w:type="dxa"/>
        <w:tblLayout w:type="fixed"/>
        <w:tblCellMar>
          <w:top w:w="0" w:type="dxa"/>
          <w:start w:w="108" w:type="dxa"/>
          <w:bottom w:w="0" w:type="dxa"/>
          <w:end w:w="108" w:type="dxa"/>
        </w:tblCellMar>
      </w:tblPr>
      <w:tblGrid>
        <w:gridCol w:w="729"/>
        <w:gridCol w:w="978"/>
        <w:gridCol w:w="687"/>
        <w:gridCol w:w="1002"/>
        <w:gridCol w:w="204"/>
        <w:gridCol w:w="1317"/>
        <w:gridCol w:w="483"/>
        <w:gridCol w:w="666"/>
        <w:gridCol w:w="144"/>
        <w:gridCol w:w="209"/>
        <w:gridCol w:w="241"/>
        <w:gridCol w:w="406"/>
        <w:gridCol w:w="44"/>
        <w:gridCol w:w="90"/>
        <w:gridCol w:w="374"/>
        <w:gridCol w:w="76"/>
        <w:gridCol w:w="1079"/>
        <w:gridCol w:w="1"/>
        <w:gridCol w:w="2"/>
      </w:tblGrid>
      <w:tr>
        <w:trPr/>
        <w:tc>
          <w:tcPr>
            <w:tcW w:w="3600" w:type="dxa"/>
            <w:gridSpan w:val="5"/>
            <w:tcBorders/>
          </w:tcPr>
          <w:p>
            <w:pPr>
              <w:pStyle w:val="Normal"/>
              <w:jc w:val="both"/>
              <w:rPr>
                <w:b/>
                <w:sz w:val="20"/>
              </w:rPr>
            </w:pPr>
            <w:r>
              <w:rPr>
                <w:b/>
                <w:sz w:val="20"/>
              </w:rPr>
              <w:t>Date Resume submitted to H.R.</w:t>
            </w:r>
          </w:p>
        </w:tc>
        <w:tc>
          <w:tcPr>
            <w:tcW w:w="1317" w:type="dxa"/>
            <w:tcBorders>
              <w:bottom w:val="single" w:sz="6" w:space="0" w:color="000000"/>
            </w:tcBorders>
          </w:tcPr>
          <w:p>
            <w:pPr>
              <w:pStyle w:val="Normal"/>
              <w:snapToGrid w:val="false"/>
              <w:jc w:val="both"/>
              <w:rPr>
                <w:b/>
                <w:sz w:val="20"/>
              </w:rPr>
            </w:pPr>
            <w:r>
              <w:rPr>
                <w:b/>
                <w:sz w:val="20"/>
              </w:rPr>
            </w:r>
          </w:p>
        </w:tc>
        <w:tc>
          <w:tcPr>
            <w:tcW w:w="483" w:type="dxa"/>
            <w:tcBorders/>
          </w:tcPr>
          <w:p>
            <w:pPr>
              <w:pStyle w:val="Normal"/>
              <w:snapToGrid w:val="false"/>
              <w:jc w:val="both"/>
              <w:rPr>
                <w:b/>
                <w:sz w:val="20"/>
              </w:rPr>
            </w:pPr>
            <w:r>
              <w:rPr>
                <w:b/>
                <w:sz w:val="20"/>
              </w:rPr>
            </w:r>
          </w:p>
        </w:tc>
        <w:tc>
          <w:tcPr>
            <w:tcW w:w="3329" w:type="dxa"/>
            <w:gridSpan w:val="10"/>
            <w:tcBorders/>
          </w:tcPr>
          <w:p>
            <w:pPr>
              <w:pStyle w:val="Normal"/>
              <w:jc w:val="both"/>
              <w:rPr>
                <w:b/>
                <w:sz w:val="20"/>
              </w:rPr>
            </w:pPr>
            <w:r>
              <w:rPr>
                <w:b/>
                <w:sz w:val="20"/>
              </w:rPr>
              <w:t>Interviewed:</w:t>
            </w:r>
          </w:p>
        </w:tc>
      </w:tr>
      <w:tr>
        <w:trPr/>
        <w:tc>
          <w:tcPr>
            <w:tcW w:w="5400" w:type="dxa"/>
            <w:gridSpan w:val="7"/>
            <w:tcBorders/>
            <w:tcMar>
              <w:start w:w="0" w:type="dxa"/>
              <w:end w:w="0" w:type="dxa"/>
            </w:tcMar>
          </w:tcPr>
          <w:p>
            <w:pPr>
              <w:pStyle w:val="Normal"/>
              <w:rPr>
                <w:b/>
                <w:sz w:val="20"/>
              </w:rPr>
            </w:pPr>
            <w:r>
              <w:rPr>
                <w:b/>
                <w:sz w:val="20"/>
              </w:rPr>
            </w:r>
          </w:p>
        </w:tc>
        <w:tc>
          <w:tcPr>
            <w:tcW w:w="666" w:type="dxa"/>
            <w:tcBorders/>
          </w:tcPr>
          <w:p>
            <w:pPr>
              <w:pStyle w:val="Normal"/>
              <w:jc w:val="both"/>
              <w:rPr>
                <w:b/>
                <w:sz w:val="20"/>
              </w:rPr>
            </w:pPr>
            <w:r>
              <w:rPr>
                <w:b/>
                <w:sz w:val="20"/>
              </w:rPr>
              <w:t>Yes</w:t>
            </w:r>
          </w:p>
        </w:tc>
        <w:tc>
          <w:tcPr>
            <w:tcW w:w="1000" w:type="dxa"/>
            <w:gridSpan w:val="4"/>
            <w:tcBorders>
              <w:bottom w:val="single" w:sz="6" w:space="0" w:color="000000"/>
            </w:tcBorders>
          </w:tcPr>
          <w:p>
            <w:pPr>
              <w:pStyle w:val="Normal"/>
              <w:snapToGrid w:val="false"/>
              <w:jc w:val="both"/>
              <w:rPr>
                <w:b/>
                <w:sz w:val="20"/>
              </w:rPr>
            </w:pPr>
            <w:r>
              <w:rPr>
                <w:b/>
                <w:sz w:val="20"/>
              </w:rPr>
            </w:r>
          </w:p>
        </w:tc>
        <w:tc>
          <w:tcPr>
            <w:tcW w:w="508" w:type="dxa"/>
            <w:gridSpan w:val="3"/>
            <w:tcBorders/>
          </w:tcPr>
          <w:p>
            <w:pPr>
              <w:pStyle w:val="Normal"/>
              <w:jc w:val="both"/>
              <w:rPr>
                <w:b/>
                <w:sz w:val="20"/>
              </w:rPr>
            </w:pPr>
            <w:r>
              <w:rPr>
                <w:b/>
                <w:sz w:val="20"/>
              </w:rPr>
              <w:t>No</w:t>
            </w:r>
          </w:p>
        </w:tc>
        <w:tc>
          <w:tcPr>
            <w:tcW w:w="1158" w:type="dxa"/>
            <w:gridSpan w:val="2"/>
            <w:tcBorders>
              <w:bottom w:val="single" w:sz="6" w:space="0" w:color="000000"/>
            </w:tcBorders>
          </w:tcPr>
          <w:p>
            <w:pPr>
              <w:pStyle w:val="Normal"/>
              <w:snapToGrid w:val="false"/>
              <w:jc w:val="both"/>
              <w:rPr>
                <w:b/>
                <w:sz w:val="20"/>
              </w:rPr>
            </w:pPr>
            <w:r>
              <w:rPr>
                <w:b/>
                <w:sz w:val="20"/>
              </w:rPr>
            </w:r>
          </w:p>
        </w:tc>
      </w:tr>
      <w:tr>
        <w:trPr>
          <w:trHeight w:val="160" w:hRule="exact"/>
        </w:trPr>
        <w:tc>
          <w:tcPr>
            <w:tcW w:w="5400" w:type="dxa"/>
            <w:gridSpan w:val="7"/>
            <w:tcBorders/>
          </w:tcPr>
          <w:p>
            <w:pPr>
              <w:pStyle w:val="Normal"/>
              <w:snapToGrid w:val="false"/>
              <w:jc w:val="both"/>
              <w:rPr>
                <w:b/>
                <w:sz w:val="20"/>
              </w:rPr>
            </w:pPr>
            <w:r>
              <w:rPr>
                <w:b/>
                <w:sz w:val="20"/>
              </w:rPr>
            </w:r>
          </w:p>
        </w:tc>
        <w:tc>
          <w:tcPr>
            <w:tcW w:w="1800" w:type="dxa"/>
            <w:gridSpan w:val="7"/>
            <w:tcBorders/>
          </w:tcPr>
          <w:p>
            <w:pPr>
              <w:pStyle w:val="Normal"/>
              <w:snapToGrid w:val="false"/>
              <w:jc w:val="both"/>
              <w:rPr>
                <w:b/>
                <w:sz w:val="20"/>
              </w:rPr>
            </w:pPr>
            <w:r>
              <w:rPr>
                <w:b/>
                <w:sz w:val="20"/>
              </w:rPr>
            </w:r>
          </w:p>
        </w:tc>
        <w:tc>
          <w:tcPr>
            <w:tcW w:w="1530" w:type="dxa"/>
            <w:gridSpan w:val="3"/>
            <w:tcBorders/>
          </w:tcPr>
          <w:p>
            <w:pPr>
              <w:pStyle w:val="Normal"/>
              <w:snapToGrid w:val="false"/>
              <w:jc w:val="both"/>
              <w:rPr>
                <w:b/>
                <w:sz w:val="20"/>
              </w:rPr>
            </w:pPr>
            <w:r>
              <w:rPr>
                <w:b/>
                <w:sz w:val="20"/>
              </w:rPr>
            </w:r>
          </w:p>
        </w:tc>
      </w:tr>
      <w:tr>
        <w:trPr/>
        <w:tc>
          <w:tcPr>
            <w:tcW w:w="5400" w:type="dxa"/>
            <w:gridSpan w:val="7"/>
            <w:tcBorders/>
          </w:tcPr>
          <w:p>
            <w:pPr>
              <w:pStyle w:val="Normal"/>
              <w:jc w:val="both"/>
              <w:rPr>
                <w:b/>
                <w:sz w:val="20"/>
              </w:rPr>
            </w:pPr>
            <w:r>
              <w:rPr>
                <w:b/>
                <w:sz w:val="20"/>
              </w:rPr>
              <w:t>Previously Employed by Enron:</w:t>
            </w:r>
          </w:p>
        </w:tc>
        <w:tc>
          <w:tcPr>
            <w:tcW w:w="1800" w:type="dxa"/>
            <w:gridSpan w:val="7"/>
            <w:tcBorders/>
          </w:tcPr>
          <w:p>
            <w:pPr>
              <w:pStyle w:val="Normal"/>
              <w:jc w:val="both"/>
              <w:rPr>
                <w:b/>
                <w:sz w:val="20"/>
              </w:rPr>
            </w:pPr>
            <w:r>
              <w:rPr>
                <w:b/>
                <w:sz w:val="20"/>
              </w:rPr>
              <w:t>Date Interviewed:</w:t>
            </w:r>
          </w:p>
        </w:tc>
        <w:tc>
          <w:tcPr>
            <w:tcW w:w="1530" w:type="dxa"/>
            <w:gridSpan w:val="3"/>
            <w:tcBorders>
              <w:bottom w:val="single" w:sz="6" w:space="0" w:color="000000"/>
            </w:tcBorders>
          </w:tcPr>
          <w:p>
            <w:pPr>
              <w:pStyle w:val="Normal"/>
              <w:snapToGrid w:val="false"/>
              <w:jc w:val="both"/>
              <w:rPr>
                <w:b/>
                <w:sz w:val="20"/>
              </w:rPr>
            </w:pPr>
            <w:r>
              <w:rPr>
                <w:b/>
                <w:sz w:val="20"/>
              </w:rPr>
            </w:r>
          </w:p>
        </w:tc>
      </w:tr>
      <w:tr>
        <w:trPr/>
        <w:tc>
          <w:tcPr>
            <w:tcW w:w="729" w:type="dxa"/>
            <w:tcBorders/>
          </w:tcPr>
          <w:p>
            <w:pPr>
              <w:pStyle w:val="Normal"/>
              <w:jc w:val="both"/>
              <w:rPr>
                <w:b/>
                <w:sz w:val="20"/>
              </w:rPr>
            </w:pPr>
            <w:r>
              <w:rPr>
                <w:b/>
                <w:sz w:val="20"/>
              </w:rPr>
              <w:t>Yes</w:t>
            </w:r>
          </w:p>
        </w:tc>
        <w:tc>
          <w:tcPr>
            <w:tcW w:w="978" w:type="dxa"/>
            <w:tcBorders>
              <w:bottom w:val="single" w:sz="4" w:space="0" w:color="000000"/>
            </w:tcBorders>
          </w:tcPr>
          <w:p>
            <w:pPr>
              <w:pStyle w:val="Normal"/>
              <w:snapToGrid w:val="false"/>
              <w:jc w:val="both"/>
              <w:rPr>
                <w:b/>
                <w:sz w:val="20"/>
              </w:rPr>
            </w:pPr>
            <w:r>
              <w:rPr>
                <w:b/>
                <w:sz w:val="20"/>
              </w:rPr>
            </w:r>
          </w:p>
        </w:tc>
        <w:tc>
          <w:tcPr>
            <w:tcW w:w="687" w:type="dxa"/>
            <w:tcBorders/>
          </w:tcPr>
          <w:p>
            <w:pPr>
              <w:pStyle w:val="Normal"/>
              <w:jc w:val="both"/>
              <w:rPr>
                <w:b/>
                <w:sz w:val="20"/>
              </w:rPr>
            </w:pPr>
            <w:r>
              <w:rPr>
                <w:b/>
                <w:sz w:val="20"/>
              </w:rPr>
              <w:t>No</w:t>
            </w:r>
          </w:p>
        </w:tc>
        <w:tc>
          <w:tcPr>
            <w:tcW w:w="1002" w:type="dxa"/>
            <w:tcBorders>
              <w:bottom w:val="single" w:sz="4" w:space="0" w:color="000000"/>
            </w:tcBorders>
          </w:tcPr>
          <w:p>
            <w:pPr>
              <w:pStyle w:val="Normal"/>
              <w:snapToGrid w:val="false"/>
              <w:jc w:val="both"/>
              <w:rPr>
                <w:b/>
                <w:sz w:val="20"/>
              </w:rPr>
            </w:pPr>
            <w:r>
              <w:rPr>
                <w:b/>
                <w:sz w:val="20"/>
              </w:rPr>
            </w:r>
          </w:p>
        </w:tc>
        <w:tc>
          <w:tcPr>
            <w:tcW w:w="2004" w:type="dxa"/>
            <w:gridSpan w:val="3"/>
            <w:tcBorders/>
          </w:tcPr>
          <w:p>
            <w:pPr>
              <w:pStyle w:val="Normal"/>
              <w:snapToGrid w:val="false"/>
              <w:jc w:val="both"/>
              <w:rPr>
                <w:b/>
                <w:sz w:val="20"/>
              </w:rPr>
            </w:pPr>
            <w:r>
              <w:rPr>
                <w:b/>
                <w:sz w:val="20"/>
              </w:rPr>
            </w:r>
          </w:p>
        </w:tc>
        <w:tc>
          <w:tcPr>
            <w:tcW w:w="1019" w:type="dxa"/>
            <w:gridSpan w:val="3"/>
            <w:tcBorders/>
          </w:tcPr>
          <w:p>
            <w:pPr>
              <w:pStyle w:val="Normal"/>
              <w:snapToGrid w:val="false"/>
              <w:jc w:val="both"/>
              <w:rPr>
                <w:b/>
                <w:sz w:val="20"/>
              </w:rPr>
            </w:pPr>
            <w:r>
              <w:rPr>
                <w:b/>
                <w:sz w:val="20"/>
              </w:rPr>
            </w:r>
          </w:p>
        </w:tc>
        <w:tc>
          <w:tcPr>
            <w:tcW w:w="2311" w:type="dxa"/>
            <w:gridSpan w:val="7"/>
            <w:tcBorders/>
          </w:tcPr>
          <w:p>
            <w:pPr>
              <w:pStyle w:val="Normal"/>
              <w:snapToGrid w:val="false"/>
              <w:jc w:val="both"/>
              <w:rPr>
                <w:b/>
                <w:sz w:val="20"/>
              </w:rPr>
            </w:pPr>
            <w:r>
              <w:rPr>
                <w:b/>
                <w:sz w:val="20"/>
              </w:rPr>
            </w:r>
          </w:p>
        </w:tc>
      </w:tr>
      <w:tr>
        <w:trPr/>
        <w:tc>
          <w:tcPr>
            <w:tcW w:w="729" w:type="dxa"/>
            <w:tcBorders/>
          </w:tcPr>
          <w:p>
            <w:pPr>
              <w:pStyle w:val="Normal"/>
              <w:snapToGrid w:val="false"/>
              <w:jc w:val="both"/>
              <w:rPr>
                <w:b/>
                <w:sz w:val="20"/>
              </w:rPr>
            </w:pPr>
            <w:r>
              <w:rPr>
                <w:b/>
                <w:sz w:val="20"/>
              </w:rPr>
            </w:r>
          </w:p>
        </w:tc>
        <w:tc>
          <w:tcPr>
            <w:tcW w:w="978" w:type="dxa"/>
            <w:tcBorders/>
          </w:tcPr>
          <w:p>
            <w:pPr>
              <w:pStyle w:val="Normal"/>
              <w:snapToGrid w:val="false"/>
              <w:jc w:val="both"/>
              <w:rPr>
                <w:b/>
                <w:sz w:val="20"/>
              </w:rPr>
            </w:pPr>
            <w:r>
              <w:rPr>
                <w:b/>
                <w:sz w:val="20"/>
              </w:rPr>
            </w:r>
          </w:p>
        </w:tc>
        <w:tc>
          <w:tcPr>
            <w:tcW w:w="687" w:type="dxa"/>
            <w:tcBorders/>
          </w:tcPr>
          <w:p>
            <w:pPr>
              <w:pStyle w:val="Normal"/>
              <w:snapToGrid w:val="false"/>
              <w:jc w:val="both"/>
              <w:rPr>
                <w:b/>
                <w:sz w:val="20"/>
              </w:rPr>
            </w:pPr>
            <w:r>
              <w:rPr>
                <w:b/>
                <w:sz w:val="20"/>
              </w:rPr>
            </w:r>
          </w:p>
        </w:tc>
        <w:tc>
          <w:tcPr>
            <w:tcW w:w="1002" w:type="dxa"/>
            <w:tcBorders/>
          </w:tcPr>
          <w:p>
            <w:pPr>
              <w:pStyle w:val="Normal"/>
              <w:snapToGrid w:val="false"/>
              <w:jc w:val="both"/>
              <w:rPr>
                <w:b/>
                <w:sz w:val="20"/>
              </w:rPr>
            </w:pPr>
            <w:r>
              <w:rPr>
                <w:b/>
                <w:sz w:val="20"/>
              </w:rPr>
            </w:r>
          </w:p>
        </w:tc>
        <w:tc>
          <w:tcPr>
            <w:tcW w:w="2004" w:type="dxa"/>
            <w:gridSpan w:val="3"/>
            <w:tcBorders/>
          </w:tcPr>
          <w:p>
            <w:pPr>
              <w:pStyle w:val="Normal"/>
              <w:snapToGrid w:val="false"/>
              <w:jc w:val="both"/>
              <w:rPr>
                <w:b/>
                <w:sz w:val="20"/>
              </w:rPr>
            </w:pPr>
            <w:r>
              <w:rPr>
                <w:b/>
                <w:sz w:val="20"/>
              </w:rPr>
            </w:r>
          </w:p>
        </w:tc>
        <w:tc>
          <w:tcPr>
            <w:tcW w:w="1260" w:type="dxa"/>
            <w:gridSpan w:val="4"/>
            <w:tcBorders/>
          </w:tcPr>
          <w:p>
            <w:pPr>
              <w:pStyle w:val="Normal"/>
              <w:jc w:val="both"/>
              <w:rPr>
                <w:b/>
                <w:sz w:val="20"/>
              </w:rPr>
            </w:pPr>
            <w:r>
              <w:rPr>
                <w:b/>
                <w:sz w:val="20"/>
              </w:rPr>
              <w:t>Hired:</w:t>
            </w:r>
          </w:p>
        </w:tc>
        <w:tc>
          <w:tcPr>
            <w:tcW w:w="2070" w:type="dxa"/>
            <w:gridSpan w:val="6"/>
            <w:tcBorders/>
          </w:tcPr>
          <w:p>
            <w:pPr>
              <w:pStyle w:val="Normal"/>
              <w:snapToGrid w:val="false"/>
              <w:jc w:val="both"/>
              <w:rPr>
                <w:b/>
                <w:sz w:val="20"/>
              </w:rPr>
            </w:pPr>
            <w:r>
              <w:rPr>
                <w:b/>
                <w:sz w:val="20"/>
              </w:rPr>
            </w:r>
          </w:p>
        </w:tc>
      </w:tr>
      <w:tr>
        <w:trPr/>
        <w:tc>
          <w:tcPr>
            <w:tcW w:w="2394" w:type="dxa"/>
            <w:gridSpan w:val="3"/>
            <w:tcBorders/>
          </w:tcPr>
          <w:p>
            <w:pPr>
              <w:pStyle w:val="Normal"/>
              <w:jc w:val="both"/>
              <w:rPr>
                <w:b/>
                <w:sz w:val="20"/>
              </w:rPr>
            </w:pPr>
            <w:r>
              <w:rPr>
                <w:b/>
                <w:sz w:val="20"/>
              </w:rPr>
              <w:t>Recruiter’s Signature:</w:t>
            </w:r>
          </w:p>
        </w:tc>
        <w:tc>
          <w:tcPr>
            <w:tcW w:w="3006" w:type="dxa"/>
            <w:gridSpan w:val="4"/>
            <w:tcBorders>
              <w:bottom w:val="single" w:sz="6" w:space="0" w:color="000000"/>
            </w:tcBorders>
          </w:tcPr>
          <w:p>
            <w:pPr>
              <w:pStyle w:val="Normal"/>
              <w:snapToGrid w:val="false"/>
              <w:jc w:val="both"/>
              <w:rPr>
                <w:b/>
                <w:sz w:val="20"/>
              </w:rPr>
            </w:pPr>
            <w:r>
              <w:rPr>
                <w:b/>
                <w:sz w:val="20"/>
              </w:rPr>
            </w:r>
          </w:p>
        </w:tc>
        <w:tc>
          <w:tcPr>
            <w:tcW w:w="810" w:type="dxa"/>
            <w:gridSpan w:val="2"/>
            <w:tcBorders/>
          </w:tcPr>
          <w:p>
            <w:pPr>
              <w:pStyle w:val="Normal"/>
              <w:jc w:val="both"/>
              <w:rPr>
                <w:b/>
                <w:sz w:val="20"/>
              </w:rPr>
            </w:pPr>
            <w:r>
              <w:rPr>
                <w:b/>
                <w:sz w:val="20"/>
              </w:rPr>
              <w:t>Yes</w:t>
            </w:r>
          </w:p>
        </w:tc>
        <w:tc>
          <w:tcPr>
            <w:tcW w:w="900" w:type="dxa"/>
            <w:gridSpan w:val="4"/>
            <w:tcBorders>
              <w:bottom w:val="single" w:sz="6" w:space="0" w:color="000000"/>
            </w:tcBorders>
          </w:tcPr>
          <w:p>
            <w:pPr>
              <w:pStyle w:val="Normal"/>
              <w:snapToGrid w:val="false"/>
              <w:jc w:val="both"/>
              <w:rPr>
                <w:b/>
                <w:sz w:val="20"/>
              </w:rPr>
            </w:pPr>
            <w:r>
              <w:rPr>
                <w:b/>
                <w:sz w:val="20"/>
              </w:rPr>
            </w:r>
          </w:p>
        </w:tc>
        <w:tc>
          <w:tcPr>
            <w:tcW w:w="540" w:type="dxa"/>
            <w:gridSpan w:val="3"/>
            <w:tcBorders/>
          </w:tcPr>
          <w:p>
            <w:pPr>
              <w:pStyle w:val="Normal"/>
              <w:jc w:val="both"/>
              <w:rPr>
                <w:b/>
                <w:sz w:val="20"/>
              </w:rPr>
            </w:pPr>
            <w:r>
              <w:rPr>
                <w:b/>
                <w:sz w:val="20"/>
              </w:rPr>
              <w:t>No</w:t>
            </w:r>
          </w:p>
        </w:tc>
        <w:tc>
          <w:tcPr>
            <w:tcW w:w="1080" w:type="dxa"/>
            <w:tcBorders>
              <w:bottom w:val="single" w:sz="6" w:space="0" w:color="000000"/>
            </w:tcBorders>
          </w:tcPr>
          <w:p>
            <w:pPr>
              <w:pStyle w:val="Normal"/>
              <w:snapToGrid w:val="false"/>
              <w:jc w:val="both"/>
              <w:rPr>
                <w:b/>
                <w:sz w:val="20"/>
              </w:rPr>
            </w:pPr>
            <w:r>
              <w:rPr>
                <w:b/>
                <w:sz w:val="20"/>
              </w:rPr>
            </w:r>
          </w:p>
        </w:tc>
      </w:tr>
    </w:tbl>
    <w:p>
      <w:pPr>
        <w:pStyle w:val="Normal"/>
        <w:jc w:val="both"/>
        <w:rPr>
          <w:b/>
          <w:sz w:val="20"/>
        </w:rPr>
      </w:pPr>
      <w:r>
        <w:rPr>
          <w:b/>
          <w:sz w:val="20"/>
        </w:rPr>
      </w:r>
    </w:p>
    <w:tbl>
      <w:tblPr>
        <w:tblW w:w="10260" w:type="dxa"/>
        <w:jc w:val="start"/>
        <w:tblInd w:w="108" w:type="dxa"/>
        <w:tblLayout w:type="fixed"/>
        <w:tblCellMar>
          <w:top w:w="0" w:type="dxa"/>
          <w:start w:w="108" w:type="dxa"/>
          <w:bottom w:w="0" w:type="dxa"/>
          <w:end w:w="108" w:type="dxa"/>
        </w:tblCellMar>
      </w:tblPr>
      <w:tblGrid>
        <w:gridCol w:w="2160"/>
        <w:gridCol w:w="3420"/>
        <w:gridCol w:w="1170"/>
        <w:gridCol w:w="1170"/>
        <w:gridCol w:w="1350"/>
        <w:gridCol w:w="990"/>
      </w:tblGrid>
      <w:tr>
        <w:trPr>
          <w:trHeight w:val="360" w:hRule="exact"/>
        </w:trPr>
        <w:tc>
          <w:tcPr>
            <w:tcW w:w="2160" w:type="dxa"/>
            <w:tcBorders/>
          </w:tcPr>
          <w:p>
            <w:pPr>
              <w:pStyle w:val="Normal"/>
              <w:jc w:val="both"/>
              <w:rPr>
                <w:b/>
                <w:sz w:val="20"/>
              </w:rPr>
            </w:pPr>
            <w:r>
              <w:rPr>
                <w:b/>
                <w:sz w:val="20"/>
              </w:rPr>
              <w:t>Job Title:</w:t>
            </w:r>
          </w:p>
        </w:tc>
        <w:tc>
          <w:tcPr>
            <w:tcW w:w="3420" w:type="dxa"/>
            <w:tcBorders>
              <w:bottom w:val="single" w:sz="6" w:space="0" w:color="000000"/>
            </w:tcBorders>
          </w:tcPr>
          <w:p>
            <w:pPr>
              <w:pStyle w:val="Normal"/>
              <w:snapToGrid w:val="false"/>
              <w:jc w:val="both"/>
              <w:rPr>
                <w:b/>
                <w:sz w:val="20"/>
              </w:rPr>
            </w:pPr>
            <w:r>
              <w:rPr>
                <w:b/>
                <w:sz w:val="20"/>
              </w:rPr>
            </w:r>
          </w:p>
        </w:tc>
        <w:tc>
          <w:tcPr>
            <w:tcW w:w="1170" w:type="dxa"/>
            <w:tcBorders/>
          </w:tcPr>
          <w:p>
            <w:pPr>
              <w:pStyle w:val="Normal"/>
              <w:jc w:val="both"/>
              <w:rPr>
                <w:b/>
                <w:sz w:val="20"/>
              </w:rPr>
            </w:pPr>
            <w:r>
              <w:rPr>
                <w:b/>
                <w:sz w:val="20"/>
              </w:rPr>
              <w:t>Exempt</w:t>
            </w:r>
          </w:p>
        </w:tc>
        <w:tc>
          <w:tcPr>
            <w:tcW w:w="1170" w:type="dxa"/>
            <w:tcBorders>
              <w:bottom w:val="single" w:sz="6" w:space="0" w:color="000000"/>
            </w:tcBorders>
          </w:tcPr>
          <w:p>
            <w:pPr>
              <w:pStyle w:val="Normal"/>
              <w:snapToGrid w:val="false"/>
              <w:jc w:val="both"/>
              <w:rPr>
                <w:b/>
                <w:sz w:val="20"/>
              </w:rPr>
            </w:pPr>
            <w:r>
              <w:rPr>
                <w:b/>
                <w:sz w:val="20"/>
              </w:rPr>
            </w:r>
          </w:p>
        </w:tc>
        <w:tc>
          <w:tcPr>
            <w:tcW w:w="1350" w:type="dxa"/>
            <w:tcBorders/>
          </w:tcPr>
          <w:p>
            <w:pPr>
              <w:pStyle w:val="Normal"/>
              <w:jc w:val="both"/>
              <w:rPr>
                <w:b/>
                <w:sz w:val="20"/>
              </w:rPr>
            </w:pPr>
            <w:r>
              <w:rPr>
                <w:b/>
                <w:sz w:val="20"/>
              </w:rPr>
              <w:t>Non Exempt</w:t>
            </w:r>
          </w:p>
        </w:tc>
        <w:tc>
          <w:tcPr>
            <w:tcW w:w="990" w:type="dxa"/>
            <w:tcBorders>
              <w:bottom w:val="single" w:sz="6" w:space="0" w:color="000000"/>
            </w:tcBorders>
          </w:tcPr>
          <w:p>
            <w:pPr>
              <w:pStyle w:val="Normal"/>
              <w:snapToGrid w:val="false"/>
              <w:jc w:val="both"/>
              <w:rPr>
                <w:b/>
                <w:sz w:val="20"/>
              </w:rPr>
            </w:pPr>
            <w:r>
              <w:rPr>
                <w:b/>
                <w:sz w:val="20"/>
              </w:rPr>
            </w:r>
          </w:p>
        </w:tc>
      </w:tr>
      <w:tr>
        <w:trPr>
          <w:trHeight w:val="360" w:hRule="exact"/>
        </w:trPr>
        <w:tc>
          <w:tcPr>
            <w:tcW w:w="2160" w:type="dxa"/>
            <w:tcBorders/>
          </w:tcPr>
          <w:p>
            <w:pPr>
              <w:pStyle w:val="Normal"/>
              <w:jc w:val="both"/>
              <w:rPr>
                <w:b/>
                <w:sz w:val="20"/>
              </w:rPr>
            </w:pPr>
            <w:r>
              <w:rPr>
                <w:b/>
                <w:sz w:val="20"/>
              </w:rPr>
              <w:t>Hiring Dept No.:</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r>
        <w:trPr>
          <w:trHeight w:val="360" w:hRule="exact"/>
        </w:trPr>
        <w:tc>
          <w:tcPr>
            <w:tcW w:w="2160" w:type="dxa"/>
            <w:tcBorders/>
          </w:tcPr>
          <w:p>
            <w:pPr>
              <w:pStyle w:val="Normal"/>
              <w:jc w:val="both"/>
              <w:rPr>
                <w:b/>
                <w:sz w:val="20"/>
              </w:rPr>
            </w:pPr>
            <w:r>
              <w:rPr>
                <w:b/>
                <w:sz w:val="20"/>
              </w:rPr>
              <w:t>Hiring Supervisor:</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r>
        <w:trPr>
          <w:trHeight w:val="360" w:hRule="exact"/>
        </w:trPr>
        <w:tc>
          <w:tcPr>
            <w:tcW w:w="2160" w:type="dxa"/>
            <w:tcBorders/>
          </w:tcPr>
          <w:p>
            <w:pPr>
              <w:pStyle w:val="Normal"/>
              <w:jc w:val="both"/>
              <w:rPr>
                <w:b/>
                <w:sz w:val="20"/>
              </w:rPr>
            </w:pPr>
            <w:r>
              <w:rPr>
                <w:b/>
                <w:sz w:val="20"/>
              </w:rPr>
              <w:t>Hire Date:</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bl>
    <w:p>
      <w:pPr>
        <w:pStyle w:val="Normal"/>
        <w:jc w:val="both"/>
        <w:rPr>
          <w:b/>
          <w:sz w:val="20"/>
        </w:rPr>
      </w:pPr>
      <w:r>
        <w:rPr>
          <w:b/>
          <w:sz w:val="20"/>
        </w:rPr>
      </w:r>
    </w:p>
    <w:tbl>
      <w:tblPr>
        <w:tblW w:w="4572" w:type="dxa"/>
        <w:jc w:val="start"/>
        <w:tblInd w:w="108" w:type="dxa"/>
        <w:tblLayout w:type="fixed"/>
        <w:tblCellMar>
          <w:top w:w="0" w:type="dxa"/>
          <w:start w:w="108" w:type="dxa"/>
          <w:bottom w:w="0" w:type="dxa"/>
          <w:end w:w="108" w:type="dxa"/>
        </w:tblCellMar>
      </w:tblPr>
      <w:tblGrid>
        <w:gridCol w:w="2142"/>
        <w:gridCol w:w="2430"/>
      </w:tblGrid>
      <w:tr>
        <w:trPr/>
        <w:tc>
          <w:tcPr>
            <w:tcW w:w="2142" w:type="dxa"/>
            <w:tcBorders/>
          </w:tcPr>
          <w:p>
            <w:pPr>
              <w:pStyle w:val="Normal"/>
              <w:jc w:val="both"/>
              <w:rPr>
                <w:b/>
                <w:sz w:val="20"/>
              </w:rPr>
            </w:pPr>
            <w:r>
              <w:rPr>
                <w:b/>
                <w:sz w:val="20"/>
              </w:rPr>
              <w:t>Date Payment Due:</w:t>
            </w:r>
          </w:p>
        </w:tc>
        <w:tc>
          <w:tcPr>
            <w:tcW w:w="2430" w:type="dxa"/>
            <w:tcBorders>
              <w:bottom w:val="single" w:sz="4" w:space="0" w:color="000000"/>
            </w:tcBorders>
          </w:tcPr>
          <w:p>
            <w:pPr>
              <w:pStyle w:val="Normal"/>
              <w:snapToGrid w:val="false"/>
              <w:jc w:val="both"/>
              <w:rPr>
                <w:b/>
                <w:sz w:val="20"/>
              </w:rPr>
            </w:pPr>
            <w:r>
              <w:rPr>
                <w:b/>
                <w:sz w:val="20"/>
              </w:rPr>
            </w:r>
          </w:p>
        </w:tc>
      </w:tr>
    </w:tbl>
    <w:p>
      <w:pPr>
        <w:pStyle w:val="Normal"/>
        <w:rPr/>
      </w:pPr>
      <w:r>
        <w:rPr/>
      </w:r>
    </w:p>
    <w:tbl>
      <w:tblPr>
        <w:tblW w:w="4680" w:type="dxa"/>
        <w:jc w:val="start"/>
        <w:tblInd w:w="4878" w:type="dxa"/>
        <w:tblLayout w:type="fixed"/>
        <w:tblCellMar>
          <w:top w:w="0" w:type="dxa"/>
          <w:start w:w="108" w:type="dxa"/>
          <w:bottom w:w="0" w:type="dxa"/>
          <w:end w:w="108" w:type="dxa"/>
        </w:tblCellMar>
      </w:tblPr>
      <w:tblGrid>
        <w:gridCol w:w="2250"/>
        <w:gridCol w:w="2430"/>
      </w:tblGrid>
      <w:tr>
        <w:trPr>
          <w:trHeight w:val="327" w:hRule="atLeast"/>
        </w:trPr>
        <w:tc>
          <w:tcPr>
            <w:tcW w:w="2250" w:type="dxa"/>
            <w:tcBorders/>
          </w:tcPr>
          <w:p>
            <w:pPr>
              <w:pStyle w:val="Normal"/>
              <w:jc w:val="both"/>
              <w:rPr>
                <w:b/>
              </w:rPr>
            </w:pPr>
            <w:r>
              <w:rPr>
                <w:b/>
              </w:rPr>
              <w:t xml:space="preserve">Payment Amount:   </w:t>
            </w:r>
          </w:p>
        </w:tc>
        <w:tc>
          <w:tcPr>
            <w:tcW w:w="2430" w:type="dxa"/>
            <w:tcBorders>
              <w:bottom w:val="single" w:sz="4" w:space="0" w:color="000000"/>
            </w:tcBorders>
          </w:tcPr>
          <w:p>
            <w:pPr>
              <w:pStyle w:val="Normal"/>
              <w:snapToGrid w:val="false"/>
              <w:jc w:val="both"/>
              <w:rPr>
                <w:b/>
              </w:rPr>
            </w:pPr>
            <w:r>
              <w:rPr>
                <w:b/>
              </w:rPr>
            </w:r>
          </w:p>
        </w:tc>
      </w:tr>
      <w:tr>
        <w:trPr>
          <w:trHeight w:val="327" w:hRule="atLeast"/>
        </w:trPr>
        <w:tc>
          <w:tcPr>
            <w:tcW w:w="2250" w:type="dxa"/>
            <w:tcBorders/>
          </w:tcPr>
          <w:p>
            <w:pPr>
              <w:pStyle w:val="Normal"/>
              <w:jc w:val="both"/>
              <w:rPr>
                <w:b/>
              </w:rPr>
            </w:pPr>
            <w:r>
              <w:rPr>
                <w:b/>
              </w:rPr>
              <w:t>Charge to:</w:t>
            </w:r>
          </w:p>
        </w:tc>
        <w:tc>
          <w:tcPr>
            <w:tcW w:w="2430" w:type="dxa"/>
            <w:tcBorders>
              <w:bottom w:val="single" w:sz="6" w:space="0" w:color="000000"/>
            </w:tcBorders>
          </w:tcPr>
          <w:p>
            <w:pPr>
              <w:pStyle w:val="Normal"/>
              <w:snapToGrid w:val="false"/>
              <w:jc w:val="both"/>
              <w:rPr>
                <w:b/>
              </w:rPr>
            </w:pPr>
            <w:r>
              <w:rPr>
                <w:b/>
              </w:rPr>
            </w:r>
          </w:p>
        </w:tc>
      </w:tr>
    </w:tbl>
    <w:p>
      <w:pPr>
        <w:pStyle w:val="Normal"/>
        <w:jc w:val="both"/>
        <w:rPr>
          <w:b/>
        </w:rPr>
      </w:pPr>
      <w:r>
        <w:rPr>
          <w:b/>
        </w:rPr>
      </w:r>
    </w:p>
    <w:tbl>
      <w:tblPr>
        <w:tblW w:w="10890" w:type="dxa"/>
        <w:jc w:val="start"/>
        <w:tblInd w:w="108" w:type="dxa"/>
        <w:tblLayout w:type="fixed"/>
        <w:tblCellMar>
          <w:top w:w="0" w:type="dxa"/>
          <w:start w:w="108" w:type="dxa"/>
          <w:bottom w:w="0" w:type="dxa"/>
          <w:end w:w="108" w:type="dxa"/>
        </w:tblCellMar>
      </w:tblPr>
      <w:tblGrid>
        <w:gridCol w:w="10890"/>
      </w:tblGrid>
      <w:tr>
        <w:trPr/>
        <w:tc>
          <w:tcPr>
            <w:tcW w:w="10890" w:type="dxa"/>
            <w:tcBorders>
              <w:top w:val="single" w:sz="4" w:space="0" w:color="000000"/>
              <w:start w:val="single" w:sz="4" w:space="0" w:color="000000"/>
              <w:bottom w:val="single" w:sz="4" w:space="0" w:color="000000"/>
              <w:end w:val="single" w:sz="4" w:space="0" w:color="000000"/>
            </w:tcBorders>
            <w:shd w:fill="E5E5E5" w:val="clear"/>
          </w:tcPr>
          <w:p>
            <w:pPr>
              <w:pStyle w:val="Normal"/>
              <w:jc w:val="center"/>
              <w:rPr>
                <w:b/>
              </w:rPr>
            </w:pPr>
            <w:r>
              <w:rPr>
                <w:b/>
              </w:rPr>
              <w:t>All referrals are subject to the terms &amp; conditions of the Enron Referral Policy dated 10/6/99.</w:t>
            </w:r>
          </w:p>
        </w:tc>
      </w:tr>
    </w:tbl>
    <w:p>
      <w:pPr>
        <w:pStyle w:val="BodyText3"/>
        <w:rPr/>
      </w:pPr>
      <w:r>
        <w:rPr/>
      </w:r>
    </w:p>
    <w:sectPr>
      <w:footerReference w:type="default" r:id="rId3"/>
      <w:footerReference w:type="first" r:id="rId4"/>
      <w:type w:val="nextPage"/>
      <w:pgSz w:w="12240" w:h="15840"/>
      <w:pgMar w:left="720" w:right="432" w:gutter="0" w:header="0" w:top="270" w:footer="324"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 w:name="Wide Lati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Revised 10/6/99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Revised 10/6/99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24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i/>
      <w:sz w:val="22"/>
    </w:rPr>
  </w:style>
  <w:style w:type="paragraph" w:styleId="Heading5">
    <w:name w:val="heading 5"/>
    <w:basedOn w:val="Normal"/>
    <w:next w:val="Normal"/>
    <w:qFormat/>
    <w:pPr>
      <w:keepNext w:val="true"/>
      <w:numPr>
        <w:ilvl w:val="4"/>
        <w:numId w:val="1"/>
      </w:numPr>
      <w:outlineLvl w:val="4"/>
    </w:pPr>
    <w:rPr>
      <w:b/>
      <w:i/>
      <w:sz w:val="22"/>
      <w:u w:val="single"/>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tyle>
  <w:style w:type="paragraph" w:styleId="Date">
    <w:name w:val="Date"/>
    <w:basedOn w:val="Normal"/>
    <w:qFormat/>
    <w:pPr/>
    <w:rPr/>
  </w:style>
  <w:style w:type="paragraph" w:styleId="BodyText2">
    <w:name w:val="Body Text 2"/>
    <w:basedOn w:val="Normal"/>
    <w:qFormat/>
    <w:pPr>
      <w:spacing w:before="0" w:after="120"/>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3">
    <w:name w:val="Body Text 3"/>
    <w:basedOn w:val="Normal"/>
    <w:qFormat/>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2000-06-05T15:03:00Z</dcterms:created>
  <dc:creator>tdrew</dc:creator>
  <dc:description/>
  <dc:language>en-CA</dc:language>
  <cp:lastModifiedBy>bhagelm</cp:lastModifiedBy>
  <cp:lastPrinted>1999-10-05T14:56:00Z</cp:lastPrinted>
  <dcterms:modified xsi:type="dcterms:W3CDTF">2000-06-05T15:03:00Z</dcterms:modified>
  <cp:revision>2</cp:revision>
  <dc:subject/>
  <dc:title>EMPLOYEE REFERRAL INCENTIVE PROGRAM </dc:title>
</cp:coreProperties>
</file>