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6.xml.rels" ContentType="application/vnd.openxmlformats-package.relationships+xml"/>
  <Override PartName="/word/_rels/header7.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5.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240"/>
        <w:ind w:hanging="0" w:start="0"/>
        <w:rPr/>
      </w:pPr>
      <w:bookmarkStart w:id="0" w:name="__RefHeading___Toc502019968"/>
      <w:bookmarkEnd w:id="0"/>
      <w:r>
        <w:rPr/>
        <w:t>INTRODUCTION</w:t>
      </w:r>
    </w:p>
    <w:p>
      <w:pPr>
        <w:pStyle w:val="BodyText3"/>
        <w:rPr>
          <w:color w:val="auto"/>
          <w:sz w:val="22"/>
        </w:rPr>
      </w:pPr>
      <w:r>
        <w:rPr>
          <w:color w:val="auto"/>
          <w:sz w:val="22"/>
        </w:rPr>
        <w:t xml:space="preserve">ENSR Consulting and Engineering (NC), Inc. (ENSR) was retained by Enron North America (Enron) to perform a limited Phase II assessment at three (3) Cogentrix facilities located in Lumberton and Elizabethtown, North Carolina. ENSR carried out the limited site assessment investigation on December 5-7 and 12-13, 2000 in accordance with the scope of work described in ENSR’s proposals to Enron dated November 29, 2000, and December 10, 2000. The proposals were based on the recommendations of the Phase I Environmental site Assessment investigation performed on the subject properties by ENSR between October 25, and December 5, 2000. </w:t>
      </w:r>
    </w:p>
    <w:p>
      <w:pPr>
        <w:pStyle w:val="Heading2"/>
        <w:ind w:hanging="0" w:start="0"/>
        <w:rPr>
          <w:sz w:val="22"/>
        </w:rPr>
      </w:pPr>
      <w:bookmarkStart w:id="1" w:name="__RefHeading___Toc502019969"/>
      <w:bookmarkEnd w:id="1"/>
      <w:r>
        <w:rPr>
          <w:sz w:val="22"/>
        </w:rPr>
        <w:t>Background</w:t>
      </w:r>
    </w:p>
    <w:p>
      <w:pPr>
        <w:pStyle w:val="BodyText3"/>
        <w:rPr>
          <w:color w:val="auto"/>
          <w:sz w:val="22"/>
        </w:rPr>
      </w:pPr>
      <w:r>
        <w:rPr>
          <w:color w:val="auto"/>
          <w:sz w:val="22"/>
        </w:rPr>
        <w:t xml:space="preserve">As part of this limited assessment, three Cogentrix facilities were investigated.  Two of the facilities, consisting of a Cogentrix cogeneration plant and a railcar unloading site, are located in Lumberton, North Carolina. The third facility consists of a Cogentrix cogeneration plant located in Elizabethtown, North Carolina. </w:t>
      </w:r>
    </w:p>
    <w:p>
      <w:pPr>
        <w:pStyle w:val="BodyText3"/>
        <w:rPr>
          <w:color w:val="auto"/>
          <w:sz w:val="22"/>
        </w:rPr>
      </w:pPr>
      <w:r>
        <w:rPr>
          <w:color w:val="auto"/>
          <w:sz w:val="22"/>
        </w:rPr>
      </w:r>
    </w:p>
    <w:p>
      <w:pPr>
        <w:pStyle w:val="BodyText3"/>
        <w:rPr/>
      </w:pPr>
      <w:r>
        <w:rPr>
          <w:color w:val="auto"/>
          <w:sz w:val="22"/>
        </w:rPr>
        <w:t>The Cogentrix plants located in Lumberton and Elizabethtown, North Carolina are six-story, steam and power cogeneration plants. The steam from both facilities is supplied to Alamac Knit Fabrics, Inc. located adjacent to each Cogentrix plant. Electricity is also generated at each cogeneration plant and sold. The railcar unloading site is located approximately one-mile northeast of the Cogentrix Lumberton plant and is</w:t>
      </w:r>
      <w:r>
        <w:rPr>
          <w:sz w:val="22"/>
        </w:rPr>
        <w:t xml:space="preserve"> used for unloading stoker coal from railcars and loaded into trucks for transport to Cogentrix’s Lumberton and Elizabethtown coal-fired cogeneration plants.</w:t>
      </w:r>
    </w:p>
    <w:p>
      <w:pPr>
        <w:pStyle w:val="BodyText3"/>
        <w:rPr>
          <w:sz w:val="22"/>
        </w:rPr>
      </w:pPr>
      <w:r>
        <w:rPr>
          <w:sz w:val="22"/>
        </w:rPr>
      </w:r>
    </w:p>
    <w:p>
      <w:pPr>
        <w:pStyle w:val="BodyText3"/>
        <w:rPr>
          <w:sz w:val="22"/>
        </w:rPr>
      </w:pPr>
      <w:r>
        <w:rPr>
          <w:sz w:val="22"/>
        </w:rPr>
        <w:t>As indicated in the Phase I report, identified areas of potential concern at the cogeneration facilities include the coal storage piles, oil/water separators and ash silos. Additionally, an aboveground diesel storage tank was identified as a potential concern for the Lumberton plant. Identified areas of potential concern for the railcar unloading site consisted of a former diesel fuel dispensing area which includes a concrete containment structure previously containing an above-ground diesel storage tank. Additionally, a former coal storage area was identified as a potential area of concern.</w:t>
      </w:r>
    </w:p>
    <w:p>
      <w:pPr>
        <w:pStyle w:val="BodyText3"/>
        <w:rPr>
          <w:color w:val="auto"/>
          <w:sz w:val="22"/>
        </w:rPr>
      </w:pPr>
      <w:r>
        <w:rPr>
          <w:color w:val="auto"/>
          <w:sz w:val="22"/>
        </w:rPr>
      </w:r>
    </w:p>
    <w:p>
      <w:pPr>
        <w:pStyle w:val="BodyText3"/>
        <w:numPr>
          <w:ilvl w:val="0"/>
          <w:numId w:val="0"/>
        </w:numPr>
        <w:ind w:hanging="0" w:start="0"/>
        <w:rPr>
          <w:color w:val="auto"/>
          <w:sz w:val="22"/>
        </w:rPr>
      </w:pPr>
      <w:r>
        <w:rPr>
          <w:color w:val="auto"/>
          <w:sz w:val="22"/>
        </w:rPr>
        <w:t>Further background information on the facility operations, site history and land use of the adjacent properties is provided in ENSR’s Phase I Environmental Site Assessment report on the same facilities dated December 2000.</w:t>
      </w:r>
    </w:p>
    <w:p>
      <w:pPr>
        <w:pStyle w:val="Heading2"/>
        <w:ind w:hanging="0" w:start="0"/>
        <w:rPr>
          <w:sz w:val="22"/>
        </w:rPr>
      </w:pPr>
      <w:bookmarkStart w:id="2" w:name="__RefHeading___Toc502019970"/>
      <w:bookmarkEnd w:id="2"/>
      <w:r>
        <w:rPr>
          <w:sz w:val="22"/>
        </w:rPr>
        <w:t>Previous Investigations</w:t>
      </w:r>
    </w:p>
    <w:p>
      <w:pPr>
        <w:pStyle w:val="BodyText3"/>
        <w:tabs>
          <w:tab w:val="clear" w:pos="0"/>
        </w:tabs>
        <w:rPr>
          <w:color w:val="auto"/>
          <w:sz w:val="22"/>
        </w:rPr>
      </w:pPr>
      <w:r>
        <w:rPr>
          <w:color w:val="auto"/>
          <w:sz w:val="22"/>
        </w:rPr>
        <w:t xml:space="preserve">The Phase I Report recommended that groundwater samples be collected around the vicinity of the lined coal piles at the cogeneration facilities and analyzed for metals, sulfates, chlorides, total dissolved solids (TDS) and pH. The collection of soil and groundwater samples was also recommended in the area of the oil/water separators at both cogeneration facilities and in the area of the diesel above-ground storage tank (AST) at the Lumberton cogeneration facility. The samples collected around the oil/water separator were to be analyzed for oil and grease and polychlorinated biphenyls (PCBs). The samples collected from the diesel AST area were to be analyzed for diesel-range total petroleum hydrocarbons (TPH). Around the ash silos, the Phase I report recommended that soil samples be collected and analyzed for metals. </w:t>
      </w:r>
    </w:p>
    <w:p>
      <w:pPr>
        <w:pStyle w:val="BodyText3"/>
        <w:tabs>
          <w:tab w:val="clear" w:pos="0"/>
        </w:tabs>
        <w:rPr>
          <w:color w:val="auto"/>
          <w:sz w:val="22"/>
        </w:rPr>
      </w:pPr>
      <w:r>
        <w:rPr>
          <w:color w:val="auto"/>
          <w:sz w:val="22"/>
        </w:rPr>
      </w:r>
    </w:p>
    <w:p>
      <w:pPr>
        <w:pStyle w:val="BodyText3"/>
        <w:tabs>
          <w:tab w:val="clear" w:pos="0"/>
        </w:tabs>
        <w:rPr/>
      </w:pPr>
      <w:r>
        <w:rPr/>
        <w:t>In May 1997, Atlanta Environmental Management, Inc. (AEM) prepared Phase I Environmental Site Assessment reports for the Lumberton and Elizabethtown cogeneration facilities. The reports also included assessments of the associated Alamac plants. The Phase I report for the Lumberton site did not identify potential environmental concerns for the Cogentrix cogeneration plant site. The Phase I report for the Elizabethtown site identified a storm water discharge area as a potential environmental concern and recommended soil sampling in that area.</w:t>
      </w:r>
      <w:bookmarkStart w:id="3" w:name="__RefHeading___Toc502019971"/>
      <w:r>
        <w:rPr/>
        <w:t xml:space="preserve"> AEM noted that methylene chloride had been detected in the stormwater discharge during sampling conducted by Cogentrix in 1992. It is ENSR’s opinion that the methylene chloride detected in the stormwater sample is not an environmental concern due to the fact that there are no other occurrences of methylene chloride detection in the stormwater outfall and methylene chloride is a common laboratory contaminant.</w:t>
      </w:r>
    </w:p>
    <w:p>
      <w:pPr>
        <w:pStyle w:val="BodyText3"/>
        <w:tabs>
          <w:tab w:val="clear" w:pos="0"/>
        </w:tabs>
        <w:rPr/>
      </w:pPr>
      <w:r>
        <w:rPr/>
      </w:r>
    </w:p>
    <w:p>
      <w:pPr>
        <w:pStyle w:val="Normal"/>
        <w:tabs>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68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 w:val="left" w:pos="9072" w:leader="none"/>
          <w:tab w:val="right" w:pos="9620" w:leader="none"/>
        </w:tabs>
        <w:rPr/>
      </w:pPr>
      <w:r>
        <w:rPr/>
        <w:t xml:space="preserve">In August 1992, Sirrine of Cary, North Carolina completed a site assessment of the railcar unloading facility to identify possible environmental impacts at the subject property.  Sirrine noted a small amount of truck diesel fuel has been spilled around an above-ground fuel tank.  The extent of contaminated soil appeared to be minor.  Sirrine recommended the fuel-contaminated soils be removed and disposed accordingly.  Sirrine also recommended that the use of on-site fueling of trucks be discontinued, or that an adequate structure be built around and below the tank to prevent it from damage from trucks and prevent spilled fuel from contacting the ground surface.  Sampling was never conducted according to Cogentrix personnel.  The referenced tank is no longer present at the site based on ENSR’s site visit.  ENSR conducted sampling as part of this Phase II in the area reportedly used for fuel dispensing. </w:t>
      </w:r>
    </w:p>
    <w:p>
      <w:pPr>
        <w:pStyle w:val="BodyText3"/>
        <w:tabs>
          <w:tab w:val="clear" w:pos="0"/>
        </w:tabs>
        <w:rPr/>
      </w:pPr>
      <w:r>
        <w:rPr/>
      </w:r>
      <w:r>
        <w:br w:type="page"/>
      </w:r>
    </w:p>
    <w:p>
      <w:pPr>
        <w:pStyle w:val="Heading1"/>
        <w:ind w:hanging="0" w:start="0"/>
        <w:rPr/>
      </w:pPr>
      <w:r>
        <w:rPr/>
        <w:t>Environmental Setting</w:t>
      </w:r>
      <w:bookmarkEnd w:id="3"/>
    </w:p>
    <w:p>
      <w:pPr>
        <w:pStyle w:val="Heading2"/>
        <w:ind w:hanging="0" w:start="0"/>
        <w:rPr>
          <w:sz w:val="22"/>
        </w:rPr>
      </w:pPr>
      <w:bookmarkStart w:id="4" w:name="__RefHeading___Toc502019972"/>
      <w:bookmarkEnd w:id="4"/>
      <w:r>
        <w:rPr>
          <w:sz w:val="22"/>
        </w:rPr>
        <w:t>Physiography, Geology and Hydrogeology</w:t>
      </w:r>
    </w:p>
    <w:p>
      <w:pPr>
        <w:pStyle w:val="BodyText3"/>
        <w:rPr>
          <w:sz w:val="22"/>
        </w:rPr>
      </w:pPr>
      <w:r>
        <w:rPr>
          <w:sz w:val="22"/>
        </w:rPr>
        <w:t>The Lumberton sites are located in the Atlantic Coastal Plain Physiographic Province of North Carolina. According to the 1997 AEM report, subsurface materials beneath the Lumberton cogeneration facility are reported to be from the Johns series, which are found on nearly level terraces and are moderately well drained to somewhat poorly drained.  The soils are subject to rare flooding for brief periods from February to April.  The geology beneath the site is characteristic of the Black Creek and Cape Fear Formations, made up of alternating layers of sand and clay. Based on temporary piezometers installed at the Lumberton cogeneration facility as part of the Phase II assessment, shallow groundwater was encountered ranging from approximately four (4) to seven (7) feet below land surface. Groundwater flow beneath the Lumberton cogeneration site is inferred to be in a northern direction toward the Lumber River which is located approximately one-mile north of the subject site.</w:t>
      </w:r>
    </w:p>
    <w:p>
      <w:pPr>
        <w:pStyle w:val="BodyText3"/>
        <w:rPr>
          <w:sz w:val="22"/>
        </w:rPr>
      </w:pPr>
      <w:r>
        <w:rPr>
          <w:sz w:val="22"/>
        </w:rPr>
      </w:r>
    </w:p>
    <w:p>
      <w:pPr>
        <w:pStyle w:val="BodyText3"/>
        <w:rPr>
          <w:sz w:val="22"/>
        </w:rPr>
      </w:pPr>
      <w:r>
        <w:rPr>
          <w:sz w:val="22"/>
        </w:rPr>
        <w:t xml:space="preserve">According to the Soil Survey of Robeson County, the railcar unloading site is underlain by soils of the Rains and Norfolk Series.  The Rains series consists of nearly level, poorly drained soils on uplands.  Typically, the surface layer consists of black sandy loam about 3 inches thick with subsurface layers being generally a grayish-brown sandy loam to sandy clay loam.  The Norfolk series consists of nearly level to sloping, well-drained soils on uplands.  Typically, surface layers are grayish-brown loamy sand about 9 inches thick with subsurface layers being generally yellowish-brown sandy loam to sandy clay.  Soils of both series have moderate permeability.  Rains soils have a seasonal high water table at or near the surface with ponding not uncommon during the winter months.  Based on the data collected at the railcar unloading site as part of the Phase II assessment, groundwater was encountered at approximately thirteen (13) feet below ground surface.  Groundwater flow beneath the railcar unloading site is inferred to be in a south and west direction towards the Lumber River located approximately one-half mile west of the Subject Property. </w:t>
      </w:r>
    </w:p>
    <w:p>
      <w:pPr>
        <w:pStyle w:val="BodyText3"/>
        <w:rPr>
          <w:sz w:val="22"/>
        </w:rPr>
      </w:pPr>
      <w:r>
        <w:rPr>
          <w:sz w:val="22"/>
        </w:rPr>
      </w:r>
    </w:p>
    <w:p>
      <w:pPr>
        <w:pStyle w:val="BodyText3"/>
        <w:rPr>
          <w:sz w:val="22"/>
        </w:rPr>
      </w:pPr>
      <w:r>
        <w:rPr>
          <w:sz w:val="22"/>
        </w:rPr>
        <w:t>The Elizabethtown cogeneration facility is also located in the Atlantic Coastal Plain Physiographic Province. According to information from the Bladen County soil survey in the 1997 AEM report, two types of soil are encountered in the area of the Elizabethtown cogeneration facility which is characteristic of the Cape Fear River Flood Plain.  The Wagram-Norfolk-Blanton soils are nearly level to gently sloping and are well drained to moderately well drained.  The Congaree-Roanoke-Altavista soils are level to gently sloping and are well drained, poorly drained, and moderately well drained.  The geology beneath the Elizabethtown site is characteristic of the Black Creek Formation, made up of alternating layers of sand and clay.  Based on a temporary piezometer installed as Part of the Phase II assessment, groundwater was encountered at approximately four (4) to five (5) feet below ground surface. Groundwater flow beneath the Elizabethtown facility is inferred to be in a northern direction toward the Cape Fear River which is located approximately one mile north of the site.</w:t>
      </w:r>
    </w:p>
    <w:p>
      <w:pPr>
        <w:pStyle w:val="BodyText3"/>
        <w:rPr>
          <w:sz w:val="22"/>
        </w:rPr>
      </w:pPr>
      <w:r>
        <w:rPr>
          <w:sz w:val="22"/>
        </w:rPr>
      </w:r>
      <w:r>
        <w:br w:type="page"/>
      </w:r>
    </w:p>
    <w:p>
      <w:pPr>
        <w:pStyle w:val="Heading1"/>
        <w:ind w:hanging="0" w:start="0"/>
        <w:rPr/>
      </w:pPr>
      <w:bookmarkStart w:id="5" w:name="__RefHeading___Toc502019973"/>
      <w:bookmarkEnd w:id="5"/>
      <w:r>
        <w:rPr/>
        <w:t>Investigative Methods</w:t>
      </w:r>
    </w:p>
    <w:p>
      <w:pPr>
        <w:pStyle w:val="BodyText3"/>
        <w:tabs>
          <w:tab w:val="clear" w:pos="0"/>
          <w:tab w:val="left" w:pos="1080" w:leader="none"/>
        </w:tabs>
        <w:rPr/>
      </w:pPr>
      <w:r>
        <w:rPr>
          <w:color w:val="auto"/>
          <w:sz w:val="22"/>
        </w:rPr>
        <w:t>This Limited Phase II Site Assessment (LSA II) investigation was conducted between December 5 and December 13, 2000. During this period, soil and groundwater samples were collected at the Lumberton and Elizabethtown cogeneration facilities and also the Lumberton railcar unloading site. The soil samples were collected using a Geoprobe</w:t>
      </w:r>
      <w:r>
        <w:rPr>
          <w:rFonts w:eastAsia="Symbol" w:cs="Symbol" w:ascii="Symbol" w:hAnsi="Symbol"/>
          <w:color w:val="auto"/>
          <w:sz w:val="22"/>
          <w:vertAlign w:val="superscript"/>
        </w:rPr>
        <w:sym w:font="Symbol" w:char="f0e2"/>
      </w:r>
      <w:r>
        <w:rPr>
          <w:color w:val="auto"/>
          <w:sz w:val="22"/>
        </w:rPr>
        <w:t xml:space="preserve"> soil probe machine and grab groundwater samples were obtained by using the Geoprobe</w:t>
      </w:r>
      <w:r>
        <w:rPr>
          <w:rFonts w:eastAsia="Symbol" w:cs="Symbol" w:ascii="Symbol" w:hAnsi="Symbol"/>
          <w:color w:val="auto"/>
          <w:sz w:val="22"/>
          <w:vertAlign w:val="superscript"/>
        </w:rPr>
        <w:sym w:font="Symbol" w:char="f0e2"/>
      </w:r>
      <w:r>
        <w:rPr>
          <w:color w:val="auto"/>
          <w:sz w:val="22"/>
        </w:rPr>
        <w:t xml:space="preserve"> screen point. A hand auger was used to collect a soil sample from one of the borings completed at the Lumberton cogeneration facility. Temporary piezometers were also installed using the Geoprobe</w:t>
      </w:r>
      <w:r>
        <w:rPr>
          <w:rFonts w:eastAsia="Symbol" w:cs="Symbol" w:ascii="Symbol" w:hAnsi="Symbol"/>
          <w:color w:val="auto"/>
          <w:sz w:val="22"/>
          <w:vertAlign w:val="superscript"/>
        </w:rPr>
        <w:sym w:font="Symbol" w:char="f0e2"/>
      </w:r>
      <w:r>
        <w:rPr>
          <w:color w:val="auto"/>
          <w:sz w:val="22"/>
        </w:rPr>
        <w:t xml:space="preserve"> soil probe machine for the collection of water level data and groundwater samples. Groundwater samples were collected from the temporary piezometers and Geoprobe</w:t>
      </w:r>
      <w:r>
        <w:rPr>
          <w:rFonts w:eastAsia="Symbol" w:cs="Symbol" w:ascii="Symbol" w:hAnsi="Symbol"/>
          <w:color w:val="auto"/>
          <w:sz w:val="22"/>
          <w:vertAlign w:val="superscript"/>
        </w:rPr>
        <w:sym w:font="Symbol" w:char="f0e2"/>
      </w:r>
      <w:r>
        <w:rPr>
          <w:color w:val="auto"/>
          <w:sz w:val="22"/>
        </w:rPr>
        <w:t xml:space="preserve"> screen point using a peristaltic pump and disposable polyethylene tubing. </w:t>
      </w:r>
    </w:p>
    <w:p>
      <w:pPr>
        <w:pStyle w:val="Heading2"/>
        <w:ind w:hanging="0" w:start="0"/>
        <w:rPr>
          <w:sz w:val="22"/>
        </w:rPr>
      </w:pPr>
      <w:bookmarkStart w:id="6" w:name="__RefHeading___Toc502019974"/>
      <w:bookmarkEnd w:id="6"/>
      <w:r>
        <w:rPr>
          <w:sz w:val="22"/>
        </w:rPr>
        <w:t>Soil Borings</w:t>
      </w:r>
    </w:p>
    <w:p>
      <w:pPr>
        <w:pStyle w:val="BodyText3"/>
        <w:tabs>
          <w:tab w:val="clear" w:pos="0"/>
          <w:tab w:val="left" w:pos="1080" w:leader="none"/>
        </w:tabs>
        <w:rPr/>
      </w:pPr>
      <w:r>
        <w:rPr>
          <w:color w:val="auto"/>
          <w:sz w:val="22"/>
        </w:rPr>
        <w:t>After locating the sampling points at locations marked clear of any utility lines, a Geoprobe</w:t>
      </w:r>
      <w:r>
        <w:rPr>
          <w:rFonts w:eastAsia="Symbol" w:cs="Symbol" w:ascii="Symbol" w:hAnsi="Symbol"/>
          <w:color w:val="auto"/>
          <w:sz w:val="22"/>
          <w:vertAlign w:val="superscript"/>
        </w:rPr>
        <w:sym w:font="Symbol" w:char="f0e2"/>
      </w:r>
      <w:r>
        <w:rPr>
          <w:color w:val="auto"/>
          <w:sz w:val="22"/>
        </w:rPr>
        <w:t xml:space="preserve"> soil probe machine was used to complete soil borings at each of the three facilities investigated. </w:t>
      </w:r>
    </w:p>
    <w:p>
      <w:pPr>
        <w:pStyle w:val="Heading3"/>
        <w:ind w:hanging="0" w:start="0"/>
        <w:rPr>
          <w:sz w:val="22"/>
        </w:rPr>
      </w:pPr>
      <w:bookmarkStart w:id="7" w:name="__RefHeading___Toc502019975"/>
      <w:bookmarkEnd w:id="7"/>
      <w:r>
        <w:rPr>
          <w:sz w:val="22"/>
        </w:rPr>
        <w:t>Lumberton Cogeneration Facility</w:t>
      </w:r>
    </w:p>
    <w:p>
      <w:pPr>
        <w:pStyle w:val="BodyText3"/>
        <w:tabs>
          <w:tab w:val="clear" w:pos="0"/>
          <w:tab w:val="left" w:pos="1080" w:leader="none"/>
        </w:tabs>
        <w:rPr/>
      </w:pPr>
      <w:r>
        <w:rPr>
          <w:color w:val="auto"/>
          <w:sz w:val="22"/>
        </w:rPr>
        <w:t>A total of 13 soil borings were completed at the Lumberton cogeneration facility. One of the soil borings was completed using a stainless-steel hand auger while the remaining borings were completed with the Geoprobe</w:t>
      </w:r>
      <w:r>
        <w:rPr>
          <w:rFonts w:eastAsia="Symbol" w:cs="Symbol" w:ascii="Symbol" w:hAnsi="Symbol"/>
          <w:color w:val="auto"/>
          <w:sz w:val="22"/>
          <w:vertAlign w:val="superscript"/>
        </w:rPr>
        <w:sym w:font="Symbol" w:char="f0e2"/>
      </w:r>
      <w:r>
        <w:rPr>
          <w:color w:val="auto"/>
          <w:sz w:val="22"/>
        </w:rPr>
        <w:t xml:space="preserve"> soil probe machine. Three (3) of the soil borings, labeled as LCP-1, LCP-2 and LCP-3 were completed around the coal storage pile and are shown on the Lumberton site plan included as Figure 1. The borings were completed to depths of 10 feet below ground surface with continuous soil cores collected from each boring.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pPr>
      <w:r>
        <w:rPr>
          <w:color w:val="auto"/>
          <w:sz w:val="22"/>
        </w:rPr>
        <w:t>Two (2) soil borings were completed in the area of the diesel AST as shown on Figure 1. As indicated above, one (1) of the soil borings, labeled as LD-2 was completed to a depth of approximately three (3) feet below ground surface. Soil boring LD-1 was completed with a Geoprobe</w:t>
      </w:r>
      <w:r>
        <w:rPr>
          <w:rFonts w:eastAsia="Symbol" w:cs="Symbol" w:ascii="Symbol" w:hAnsi="Symbol"/>
          <w:color w:val="auto"/>
          <w:sz w:val="22"/>
          <w:vertAlign w:val="superscript"/>
        </w:rPr>
        <w:sym w:font="Symbol" w:char="f0e2"/>
      </w:r>
      <w:r>
        <w:rPr>
          <w:color w:val="auto"/>
          <w:sz w:val="22"/>
        </w:rPr>
        <w:t xml:space="preserve"> machine to a depth of approximately 10 feet. Continuous soil samples were collected at each boring location.</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pPr>
      <w:r>
        <w:rPr>
          <w:color w:val="auto"/>
          <w:sz w:val="22"/>
        </w:rPr>
        <w:t>Four (4) soil borings were completed using Geoprobe</w:t>
      </w:r>
      <w:r>
        <w:rPr>
          <w:rFonts w:eastAsia="Symbol" w:cs="Symbol" w:ascii="Symbol" w:hAnsi="Symbol"/>
          <w:color w:val="auto"/>
          <w:sz w:val="22"/>
          <w:vertAlign w:val="superscript"/>
        </w:rPr>
        <w:sym w:font="Symbol" w:char="f0e2"/>
      </w:r>
      <w:r>
        <w:rPr>
          <w:color w:val="auto"/>
          <w:sz w:val="22"/>
        </w:rPr>
        <w:t xml:space="preserve"> techniques around the oil/water separator as shown on Figure 1. The borings, labeled as LOWS-1, LOWS-2, LOWS-3 and LOWS-4, were continuously sampled for soil during their completion to a depth of approximately four (4) feet below ground surface.</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pPr>
      <w:r>
        <w:rPr>
          <w:color w:val="auto"/>
          <w:sz w:val="22"/>
        </w:rPr>
        <w:t>In the area of the ash silos, four (4) soil borings were completed using the Geoprobe</w:t>
      </w:r>
      <w:r>
        <w:rPr>
          <w:rFonts w:eastAsia="Symbol" w:cs="Symbol" w:ascii="Symbol" w:hAnsi="Symbol"/>
          <w:color w:val="auto"/>
          <w:sz w:val="22"/>
          <w:vertAlign w:val="superscript"/>
        </w:rPr>
        <w:sym w:font="Symbol" w:char="f0e2"/>
      </w:r>
      <w:r>
        <w:rPr>
          <w:color w:val="auto"/>
          <w:sz w:val="22"/>
        </w:rPr>
        <w:t xml:space="preserve"> machine to depths of approximately five (5) feet below ground surface. Continuous soil samples were collected during completion of the borings. The borings, labeled as LAS-1, LAS-2, LAS-3 and LAS-4, are shown on Figure 1.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Field observations, such as visual soil description, odor and color were made and recorded on field log sheets and the field notebook.  Lithologic logs developed from these observations are included as Appendix A.</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The minimal soil cuttings generated during these borings were disposed of in the onsite trash dumpster.</w:t>
      </w:r>
    </w:p>
    <w:p>
      <w:pPr>
        <w:pStyle w:val="Heading3"/>
        <w:ind w:hanging="0" w:start="0"/>
        <w:rPr>
          <w:sz w:val="22"/>
        </w:rPr>
      </w:pPr>
      <w:bookmarkStart w:id="8" w:name="__RefHeading___Toc502019976"/>
      <w:bookmarkEnd w:id="8"/>
      <w:r>
        <w:rPr>
          <w:sz w:val="22"/>
        </w:rPr>
        <w:t>Elizabethtown Cogeneration Facility</w:t>
      </w:r>
    </w:p>
    <w:p>
      <w:pPr>
        <w:pStyle w:val="BodyText3"/>
        <w:tabs>
          <w:tab w:val="clear" w:pos="0"/>
          <w:tab w:val="left" w:pos="1080" w:leader="none"/>
        </w:tabs>
        <w:rPr/>
      </w:pPr>
      <w:r>
        <w:rPr>
          <w:color w:val="auto"/>
          <w:sz w:val="22"/>
        </w:rPr>
        <w:t>A total of 10 soil borings were completed at the Lumberton cogeneration facility using the Geoprobe</w:t>
      </w:r>
      <w:r>
        <w:rPr>
          <w:rFonts w:eastAsia="Symbol" w:cs="Symbol" w:ascii="Symbol" w:hAnsi="Symbol"/>
          <w:color w:val="auto"/>
          <w:sz w:val="22"/>
          <w:vertAlign w:val="superscript"/>
        </w:rPr>
        <w:sym w:font="Symbol" w:char="f0e2"/>
      </w:r>
      <w:r>
        <w:rPr>
          <w:color w:val="auto"/>
          <w:sz w:val="22"/>
        </w:rPr>
        <w:t xml:space="preserve"> soil probe machine. Three (3) of the soil borings, labeled as ECP-1, ECP-2 and ECP-3 were completed around the coal storage pile and are shown on the Elizabethtown site plan included as Figure 2. The borings were completed to depths of approximately 18 to 22 feet below ground surface with continuous soil cores collected from each boring.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pPr>
      <w:r>
        <w:rPr>
          <w:color w:val="auto"/>
          <w:sz w:val="22"/>
        </w:rPr>
        <w:t>Three (3) soil borings were completed using Geoprobe</w:t>
      </w:r>
      <w:r>
        <w:rPr>
          <w:rFonts w:eastAsia="Symbol" w:cs="Symbol" w:ascii="Symbol" w:hAnsi="Symbol"/>
          <w:color w:val="auto"/>
          <w:sz w:val="22"/>
          <w:vertAlign w:val="superscript"/>
        </w:rPr>
        <w:sym w:font="Symbol" w:char="f0e2"/>
      </w:r>
      <w:r>
        <w:rPr>
          <w:color w:val="auto"/>
          <w:sz w:val="22"/>
        </w:rPr>
        <w:t xml:space="preserve"> techniques around the oil/water separator as shown on Figure 2. The borings, labeled as EOWS-1, EOWS-2, and EOWS-4, were continuously sampled for soil during their completion to a depth of approximately 10 feet below ground surface. Boring EOWS-3 was not completed due to ponding of water in the vicinity of the boring location.</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pPr>
      <w:r>
        <w:rPr>
          <w:color w:val="auto"/>
          <w:sz w:val="22"/>
        </w:rPr>
        <w:t>In the area of the ash silos, four (4) soil borings were completed using the Geoprobe</w:t>
      </w:r>
      <w:r>
        <w:rPr>
          <w:rFonts w:eastAsia="Symbol" w:cs="Symbol" w:ascii="Symbol" w:hAnsi="Symbol"/>
          <w:color w:val="auto"/>
          <w:sz w:val="22"/>
          <w:vertAlign w:val="superscript"/>
        </w:rPr>
        <w:sym w:font="Symbol" w:char="f0e2"/>
      </w:r>
      <w:r>
        <w:rPr>
          <w:color w:val="auto"/>
          <w:sz w:val="22"/>
        </w:rPr>
        <w:t xml:space="preserve"> machine to depths of approximately five (5) feet below ground surface. Continuous soil samples were collected during completion of the borings. The borings, labeled as EAS-1, EAS-2, EAS-3 and EAS-4, are shown on Figure 2.</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 xml:space="preserve">Field observations, such as visual soil description, odor and color were made and recorded on field log sheets and the field notebook.  Lithologic logs developed from these observations are included as Appendix A.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The minimal soil cuttings generated during these borings were disposed of in the onsite trash dumpster.</w:t>
      </w:r>
    </w:p>
    <w:p>
      <w:pPr>
        <w:pStyle w:val="Heading3"/>
        <w:ind w:hanging="0" w:start="0"/>
        <w:rPr>
          <w:sz w:val="22"/>
        </w:rPr>
      </w:pPr>
      <w:bookmarkStart w:id="9" w:name="__RefHeading___Toc502019977"/>
      <w:bookmarkEnd w:id="9"/>
      <w:r>
        <w:rPr>
          <w:sz w:val="22"/>
        </w:rPr>
        <w:t>Railcar Unloading Site</w:t>
      </w:r>
    </w:p>
    <w:p>
      <w:pPr>
        <w:pStyle w:val="BodyText3"/>
        <w:tabs>
          <w:tab w:val="clear" w:pos="0"/>
          <w:tab w:val="left" w:pos="1080" w:leader="none"/>
        </w:tabs>
        <w:rPr/>
      </w:pPr>
      <w:r>
        <w:rPr>
          <w:color w:val="auto"/>
          <w:sz w:val="22"/>
        </w:rPr>
        <w:t>A total of 4 soil borings were completed at the Lumberton railcar unloading site using the Geoprobe</w:t>
      </w:r>
      <w:r>
        <w:rPr>
          <w:rFonts w:eastAsia="Symbol" w:cs="Symbol" w:ascii="Symbol" w:hAnsi="Symbol"/>
          <w:color w:val="auto"/>
          <w:sz w:val="22"/>
          <w:vertAlign w:val="superscript"/>
        </w:rPr>
        <w:sym w:font="Symbol" w:char="f0e2"/>
      </w:r>
      <w:r>
        <w:rPr>
          <w:color w:val="auto"/>
          <w:sz w:val="22"/>
        </w:rPr>
        <w:t xml:space="preserve"> soil probe machine. Two (2) of the soil borings, labeled as RD-1 and RD-2 were completed in the area of the former fuel dispenser and current containment structure as shown on Figure 3. The borings were completed to depths of approximately 12 to 13 feet below ground surface with continuous soil cores collected from each boring.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pPr>
      <w:r>
        <w:rPr>
          <w:color w:val="auto"/>
          <w:sz w:val="22"/>
        </w:rPr>
        <w:t>Two (2) soil borings were completed using Geoprobe</w:t>
      </w:r>
      <w:r>
        <w:rPr>
          <w:rFonts w:eastAsia="Symbol" w:cs="Symbol" w:ascii="Symbol" w:hAnsi="Symbol"/>
          <w:color w:val="auto"/>
          <w:sz w:val="22"/>
          <w:vertAlign w:val="superscript"/>
        </w:rPr>
        <w:sym w:font="Symbol" w:char="f0e2"/>
      </w:r>
      <w:r>
        <w:rPr>
          <w:color w:val="auto"/>
          <w:sz w:val="22"/>
        </w:rPr>
        <w:t xml:space="preserve"> techniques around coal pile storage area as shown on Figure 3. The borings, labeled as RCP-1 and RCP-2 were continuously sampled for soil during their completion to a depth of approximately 12 feet below ground surface.</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 xml:space="preserve">Field observations, such as visual soil description, odor and color were made and recorded on field log sheets and the field notebook.  Lithologic logs developed from these observations are included as Appendix A.  </w:t>
      </w:r>
    </w:p>
    <w:p>
      <w:pPr>
        <w:pStyle w:val="BodyText3"/>
        <w:tabs>
          <w:tab w:val="clear" w:pos="0"/>
          <w:tab w:val="left" w:pos="1080" w:leader="none"/>
        </w:tabs>
        <w:rPr>
          <w:color w:val="auto"/>
          <w:sz w:val="22"/>
        </w:rPr>
      </w:pPr>
      <w:r>
        <w:rPr>
          <w:color w:val="auto"/>
          <w:sz w:val="22"/>
        </w:rPr>
      </w:r>
    </w:p>
    <w:p>
      <w:pPr>
        <w:pStyle w:val="BodyText3"/>
        <w:rPr>
          <w:sz w:val="22"/>
        </w:rPr>
      </w:pPr>
      <w:r>
        <w:rPr>
          <w:sz w:val="22"/>
        </w:rPr>
        <w:t>The minimal soil cuttings generated during these borings were disposed of in the onsite trash dumpster.</w:t>
      </w:r>
    </w:p>
    <w:p>
      <w:pPr>
        <w:pStyle w:val="Heading2"/>
        <w:ind w:hanging="0" w:start="0"/>
        <w:rPr>
          <w:sz w:val="22"/>
        </w:rPr>
      </w:pPr>
      <w:bookmarkStart w:id="10" w:name="__RefHeading___Toc502019978"/>
      <w:bookmarkEnd w:id="10"/>
      <w:r>
        <w:rPr>
          <w:sz w:val="22"/>
        </w:rPr>
        <w:t>Soil Sampling</w:t>
      </w:r>
    </w:p>
    <w:p>
      <w:pPr>
        <w:pStyle w:val="BodyText3"/>
        <w:tabs>
          <w:tab w:val="clear" w:pos="0"/>
          <w:tab w:val="left" w:pos="1080" w:leader="none"/>
        </w:tabs>
        <w:rPr>
          <w:color w:val="auto"/>
          <w:sz w:val="22"/>
        </w:rPr>
      </w:pPr>
      <w:r>
        <w:rPr>
          <w:color w:val="auto"/>
          <w:sz w:val="22"/>
        </w:rPr>
        <w:t>Soil samples were collected from soil borings completed in the oil/water separator areas, diesel tanks area, and the ash silo areas. A description of the soil sampling is provided for each site in the sections below.</w:t>
      </w:r>
    </w:p>
    <w:p>
      <w:pPr>
        <w:pStyle w:val="Heading3"/>
        <w:ind w:hanging="0" w:start="0"/>
        <w:rPr>
          <w:sz w:val="22"/>
        </w:rPr>
      </w:pPr>
      <w:bookmarkStart w:id="11" w:name="__RefHeading___Toc502019979"/>
      <w:bookmarkEnd w:id="11"/>
      <w:r>
        <w:rPr>
          <w:sz w:val="22"/>
        </w:rPr>
        <w:t>Lumberton Cogeneration Facility</w:t>
      </w:r>
    </w:p>
    <w:p>
      <w:pPr>
        <w:pStyle w:val="BodyText3"/>
        <w:tabs>
          <w:tab w:val="clear" w:pos="0"/>
          <w:tab w:val="left" w:pos="1080" w:leader="none"/>
        </w:tabs>
        <w:rPr>
          <w:color w:val="auto"/>
          <w:sz w:val="22"/>
        </w:rPr>
      </w:pPr>
      <w:r>
        <w:rPr>
          <w:color w:val="auto"/>
          <w:sz w:val="22"/>
        </w:rPr>
        <w:t xml:space="preserve">One soil sample from each of the four (4) soil borings completed around the oil/water separator was collected at the soil/groundwater interface for analysis of Oil and Grease compounds with a silica gel cleanup by EPA method 1664 and for PCB’s by EPA method 8082. The samples were collected at approximate depths of two and one-half (2.5) to three (3) feet below ground surface.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 xml:space="preserve">One soil sample from each of the two (2) soil borings completed in the area of the diesel fuel AST was collected for analysis of diesel-range TPH by EPA method 3550/8015. The soil sample from boring LD-1 was collected at a depth of approximately three (3) feet below ground surface while the soil sample from LD-2 was collected a depth of approximately two and one-half (2.5) feet below ground surface.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 xml:space="preserve">Two (2) soil samples from each of the four (4) soil borings completed in the ash silo area were collected for analysis of metals by EPA method 6010/7471. The soil samples submitted for analysis were collected from depths of one and one-half (1.5) feet and four and one-half (4.5) feet below ground surface in each boring.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The soil samples, after being recovered from the target depths, were placed into the appropriate laboratory containers. The samples were then capped, labeled and placed on ice in coolers.  The coolers were then sent via a courier to the North Carolina Department of Environment and Natural Resources (NCDENR) certified Pace Analytical laboratory in Huntersville, North Carolina under a Chain-of-Custody protocol.  A copy of the Chain-of-Custody is attached at the end of this report as Appendix C.</w:t>
      </w:r>
    </w:p>
    <w:p>
      <w:pPr>
        <w:pStyle w:val="Heading3"/>
        <w:ind w:hanging="0" w:start="0"/>
        <w:rPr>
          <w:sz w:val="22"/>
        </w:rPr>
      </w:pPr>
      <w:bookmarkStart w:id="12" w:name="__RefHeading___Toc502019980"/>
      <w:bookmarkEnd w:id="12"/>
      <w:r>
        <w:rPr>
          <w:sz w:val="22"/>
        </w:rPr>
        <w:t>Elizabethtown Cogeneration Facility</w:t>
      </w:r>
    </w:p>
    <w:p>
      <w:pPr>
        <w:pStyle w:val="BodyText3"/>
        <w:tabs>
          <w:tab w:val="clear" w:pos="0"/>
          <w:tab w:val="left" w:pos="1080" w:leader="none"/>
        </w:tabs>
        <w:rPr>
          <w:color w:val="auto"/>
          <w:sz w:val="22"/>
        </w:rPr>
      </w:pPr>
      <w:r>
        <w:rPr>
          <w:color w:val="auto"/>
          <w:sz w:val="22"/>
        </w:rPr>
        <w:t xml:space="preserve">One soil sample from each of the three (3) soil borings completed around the oil/water separator was collected at the soil/groundwater interface for analysis of Oil and Grease compounds with a silica gel cleanup by EPA method 1664 and for PCB’s by EPA method 8082. The samples were collected at an approximate depth of six (6) feet below ground surface in each boring. As discussed in an earlier section, one of the soil borings proposed for this area was not completed due to ponding of water in this area. </w:t>
      </w:r>
    </w:p>
    <w:p>
      <w:pPr>
        <w:pStyle w:val="BodyText3"/>
        <w:tabs>
          <w:tab w:val="clear" w:pos="0"/>
          <w:tab w:val="left" w:pos="1080" w:leader="none"/>
        </w:tabs>
        <w:rPr>
          <w:color w:val="auto"/>
          <w:sz w:val="22"/>
        </w:rPr>
      </w:pPr>
      <w:r>
        <w:rPr>
          <w:color w:val="auto"/>
          <w:sz w:val="22"/>
        </w:rPr>
      </w:r>
    </w:p>
    <w:p>
      <w:pPr>
        <w:pStyle w:val="BodyText3"/>
        <w:rPr>
          <w:sz w:val="22"/>
        </w:rPr>
      </w:pPr>
      <w:r>
        <w:rPr>
          <w:sz w:val="22"/>
        </w:rPr>
        <w:t xml:space="preserve">Two (2) soil samples from each of the four (4) soil borings completed in the ash silo area were collected for analysis of metals by EPA method 6010/7471. The soil samples submitted for analysis were collected from depths of one and one-half (1.5) feet and four and one-half (4.5) feet below ground surface in each boring. </w:t>
      </w:r>
    </w:p>
    <w:p>
      <w:pPr>
        <w:pStyle w:val="BodyText3"/>
        <w:tabs>
          <w:tab w:val="clear" w:pos="0"/>
          <w:tab w:val="left" w:pos="1080" w:leader="none"/>
        </w:tabs>
        <w:rPr>
          <w:color w:val="auto"/>
          <w:sz w:val="22"/>
        </w:rPr>
      </w:pPr>
      <w:r>
        <w:rPr>
          <w:color w:val="auto"/>
          <w:sz w:val="22"/>
        </w:rPr>
      </w:r>
    </w:p>
    <w:p>
      <w:pPr>
        <w:pStyle w:val="BodyText3"/>
        <w:rPr>
          <w:sz w:val="22"/>
        </w:rPr>
      </w:pPr>
      <w:r>
        <w:rPr>
          <w:sz w:val="22"/>
        </w:rPr>
        <w:t>The soil samples, after being recovered from the target depths, were placed into the appropriate laboratory containers. The samples were then capped, labeled and placed on ice in coolers.  The coolers were then sent via a courier to the NCDENR certified Pace Analytical laboratory in Huntersville, North Carolina under a Chain-of-Custody protocol.  A copy of the Chain-of-Custody is attached at the end of this report as Appendix C.</w:t>
      </w:r>
    </w:p>
    <w:p>
      <w:pPr>
        <w:pStyle w:val="Heading3"/>
        <w:ind w:hanging="0" w:start="0"/>
        <w:rPr>
          <w:sz w:val="22"/>
        </w:rPr>
      </w:pPr>
      <w:bookmarkStart w:id="13" w:name="__RefHeading___Toc502019981"/>
      <w:bookmarkEnd w:id="13"/>
      <w:r>
        <w:rPr>
          <w:sz w:val="22"/>
        </w:rPr>
        <w:t>Railcar Unloading Site</w:t>
      </w:r>
    </w:p>
    <w:p>
      <w:pPr>
        <w:pStyle w:val="BodyText3"/>
        <w:tabs>
          <w:tab w:val="clear" w:pos="0"/>
          <w:tab w:val="left" w:pos="1080" w:leader="none"/>
        </w:tabs>
        <w:rPr>
          <w:color w:val="auto"/>
          <w:sz w:val="22"/>
        </w:rPr>
      </w:pPr>
      <w:r>
        <w:rPr>
          <w:color w:val="auto"/>
          <w:sz w:val="22"/>
        </w:rPr>
        <w:t xml:space="preserve">One soil sample from each of the two (2) soil borings completed in the area of the former diesel fuel dispenser and containment structure was collected for analysis of diesel-range TPH by EPA method 3550/8015. The soil sample from boring RD-1 was collected at a depth of approximately 12.5 feet below ground surface while the soil sample from RD-2 was collected a depth of approximately 11.5 feet below ground surface.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The soil samples, after being recovered from the target depths, were placed into the appropriate laboratory containers. The samples were then capped, labeled and placed on ice in coolers.  The coolers were then sent via a courier to the NCDENR certified Pace Analytical laboratory in Huntersville, North Carolina under a Chain-of-Custody protocol.  A copy of the Chain-of-Custody is attached at the end of this report as Appendix C.</w:t>
      </w:r>
    </w:p>
    <w:p>
      <w:pPr>
        <w:pStyle w:val="Heading2"/>
        <w:ind w:hanging="0" w:start="0"/>
        <w:rPr>
          <w:sz w:val="22"/>
        </w:rPr>
      </w:pPr>
      <w:bookmarkStart w:id="14" w:name="__RefHeading___Toc502019982"/>
      <w:bookmarkEnd w:id="14"/>
      <w:r>
        <w:rPr>
          <w:sz w:val="22"/>
        </w:rPr>
        <w:t>Temporary Piezometer Installation</w:t>
      </w:r>
    </w:p>
    <w:p>
      <w:pPr>
        <w:pStyle w:val="BodyText3"/>
        <w:tabs>
          <w:tab w:val="clear" w:pos="0"/>
          <w:tab w:val="left" w:pos="1080" w:leader="none"/>
        </w:tabs>
        <w:rPr>
          <w:color w:val="auto"/>
          <w:sz w:val="22"/>
        </w:rPr>
      </w:pPr>
      <w:r>
        <w:rPr>
          <w:color w:val="auto"/>
          <w:sz w:val="22"/>
        </w:rPr>
        <w:t>Temporary piezometers were constructed in soil borings completed around the coal pile storage areas for the Lumberton and Elizabethtown cogeneration facilities. The sections below provide the installation procedures followed at each facility.</w:t>
      </w:r>
    </w:p>
    <w:p>
      <w:pPr>
        <w:pStyle w:val="Heading3"/>
        <w:ind w:hanging="0" w:start="0"/>
        <w:rPr>
          <w:sz w:val="22"/>
        </w:rPr>
      </w:pPr>
      <w:bookmarkStart w:id="15" w:name="__RefHeading___Toc502019983"/>
      <w:bookmarkEnd w:id="15"/>
      <w:r>
        <w:rPr>
          <w:sz w:val="22"/>
        </w:rPr>
        <w:t>Lumberton Cogeneration Facility</w:t>
      </w:r>
    </w:p>
    <w:p>
      <w:pPr>
        <w:pStyle w:val="BodyText3"/>
        <w:tabs>
          <w:tab w:val="clear" w:pos="0"/>
          <w:tab w:val="left" w:pos="1080" w:leader="none"/>
        </w:tabs>
        <w:rPr>
          <w:color w:val="auto"/>
          <w:sz w:val="22"/>
        </w:rPr>
      </w:pPr>
      <w:r>
        <w:rPr>
          <w:color w:val="auto"/>
          <w:sz w:val="22"/>
        </w:rPr>
        <w:t>Temporary piezometers were installed in each soil borings drilled around the coal pile storage area and are identified as LCP-1, LCP-2 and LCP-3. Additionally, a temporary piezometer was installed in soil boring LD-1 located adjacent to the diesel fuel AST. During piezometer installation, a 1-inch diameter 5-foot section of polyvinyl chloride (PVC) well screen with 0.010-inch slots was installed in each soil boring to an approximate depth of 10 feet below ground surface. The screened sections of each piezometer were then connected to 1-inch diameter PVC riser pipe that extended to the surface. The construction log developed for each piezometer installed is included in Appendix A..</w:t>
      </w:r>
    </w:p>
    <w:p>
      <w:pPr>
        <w:pStyle w:val="Heading3"/>
        <w:ind w:hanging="0" w:start="0"/>
        <w:rPr>
          <w:sz w:val="22"/>
        </w:rPr>
      </w:pPr>
      <w:bookmarkStart w:id="16" w:name="__RefHeading___Toc502019984"/>
      <w:bookmarkEnd w:id="16"/>
      <w:r>
        <w:rPr>
          <w:sz w:val="22"/>
        </w:rPr>
        <w:t>Elizabethtown Cogeneration Facility</w:t>
      </w:r>
    </w:p>
    <w:p>
      <w:pPr>
        <w:pStyle w:val="BodyText3"/>
        <w:tabs>
          <w:tab w:val="clear" w:pos="0"/>
          <w:tab w:val="left" w:pos="1080" w:leader="none"/>
        </w:tabs>
        <w:rPr>
          <w:color w:val="auto"/>
          <w:sz w:val="22"/>
        </w:rPr>
      </w:pPr>
      <w:r>
        <w:rPr>
          <w:color w:val="auto"/>
          <w:sz w:val="22"/>
        </w:rPr>
        <w:t>Temporary piezometers were installed in two (2) of the three (3) soil borings drilled around the coal pile storage area and are identified as ECP-2 and ECP-3. A piezometer was not installed in soil boring ECP-1 due to the presence of a massive clay unit and the lack of significant quantities of groundwater. During piezometer installation, a 1-inch diameter 5-foot section of polyvinyl chloride (PVC) well screen with 0.010-inch slots was installed in each soil boring to approximate depths of 21.5 feet below ground surface at boring ECP-2 and 18 feet below ground surface at soil boring ECP-3. The screened sections of each piezometer were then connected to 1-inch diameter PVC riser pipe that extended to the surface. The construction log developed for each piezometer installed is included in Appendix A.</w:t>
      </w:r>
    </w:p>
    <w:p>
      <w:pPr>
        <w:pStyle w:val="Heading2"/>
        <w:ind w:hanging="0" w:start="0"/>
        <w:rPr>
          <w:sz w:val="22"/>
        </w:rPr>
      </w:pPr>
      <w:bookmarkStart w:id="17" w:name="__RefHeading___Toc502019985"/>
      <w:bookmarkEnd w:id="17"/>
      <w:r>
        <w:rPr>
          <w:sz w:val="22"/>
        </w:rPr>
        <w:t>Groundwater Sampling</w:t>
      </w:r>
    </w:p>
    <w:p>
      <w:pPr>
        <w:pStyle w:val="BodyText3"/>
        <w:tabs>
          <w:tab w:val="clear" w:pos="0"/>
          <w:tab w:val="left" w:pos="1080" w:leader="none"/>
        </w:tabs>
        <w:rPr/>
      </w:pPr>
      <w:r>
        <w:rPr>
          <w:color w:val="auto"/>
          <w:sz w:val="22"/>
        </w:rPr>
        <w:t>Groundwater samples were collected from each of the temporary piezometers installed at the Lumberton and Elizabethtown cogeneration facilities and also from soil borings completed around the oil/water separators at the cogeneration facilities.  Groundwater samples were also collected from the railcar unloading site soil borings completed in the area of former diesel fuel dispenser area and the coal pile storage area. Groundwater samples collected from the soil borings completed at the facilities were obtained through use of the Geoprobe</w:t>
      </w:r>
      <w:r>
        <w:rPr>
          <w:rFonts w:eastAsia="Symbol" w:cs="Symbol" w:ascii="Symbol" w:hAnsi="Symbol"/>
          <w:color w:val="auto"/>
          <w:sz w:val="22"/>
          <w:vertAlign w:val="superscript"/>
        </w:rPr>
        <w:sym w:font="Symbol" w:char="f0e2"/>
      </w:r>
      <w:r>
        <w:rPr>
          <w:color w:val="auto"/>
          <w:sz w:val="22"/>
        </w:rPr>
        <w:t xml:space="preserve"> screen point.</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pPr>
      <w:r>
        <w:rPr>
          <w:color w:val="auto"/>
          <w:sz w:val="22"/>
        </w:rPr>
        <w:t>After temporary piezometer installation or installation of the Geoprobe</w:t>
      </w:r>
      <w:r>
        <w:rPr>
          <w:rFonts w:eastAsia="Symbol" w:cs="Symbol" w:ascii="Symbol" w:hAnsi="Symbol"/>
          <w:color w:val="auto"/>
          <w:sz w:val="22"/>
          <w:vertAlign w:val="superscript"/>
        </w:rPr>
        <w:sym w:font="Symbol" w:char="f0e2"/>
      </w:r>
      <w:r>
        <w:rPr>
          <w:color w:val="auto"/>
          <w:sz w:val="22"/>
        </w:rPr>
        <w:t xml:space="preserve"> screen point, an attempt was made to develop the piezometers or screen points until good hydrogeologic connection between the screen and the aquifer was attained and visible turbidity was reduced so that representative groundwater conditions were achieved. Due to the fine-grained nature of the encountered subsurface soils, turbidity was not significantly reduced while pumping. The wells were then sampled using a peristaltic pump with disposable polyethylene tubing. The groundwater samples collected for each piezometer were then labeled and placed on ice in coolers.  The coolers were then shipped via a courier to Pace Analytical laboratories of Huntersville, North Carolina under a Chain-of-Custody protocol. A copy of the Chain-of-Custody is included in Appendix C at the end of this report.</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Groundwater samples collected from temporary piezometers installed around the coal pile storage areas were analyzed for metals (EPA method 200.7/245.1), sulfate (EPA method 375.2), total dissolved solids (EPA method 160.0) and chloride (325.3). Groundwater samples collected from the oil/water separator areas were submitted to the laboratory for analysis of Oil and Grease with silica gel cleanup (EPA method 413.1) and PCB’s (EPA method 8082). Groundwater samples collected from the diesel fuel AST area and former diesel fuel dispenser area were analyzed for diesel-range TPH (EPA method 3510/8015). The groundwater sampling records are provided in Appendix B.</w:t>
      </w:r>
    </w:p>
    <w:p>
      <w:pPr>
        <w:pStyle w:val="Heading2"/>
        <w:ind w:hanging="0" w:start="0"/>
        <w:rPr>
          <w:sz w:val="22"/>
        </w:rPr>
      </w:pPr>
      <w:bookmarkStart w:id="18" w:name="__RefHeading___Toc502019986"/>
      <w:bookmarkEnd w:id="18"/>
      <w:r>
        <w:rPr>
          <w:sz w:val="22"/>
        </w:rPr>
        <w:t>Groundwater Flow</w:t>
      </w:r>
    </w:p>
    <w:p>
      <w:pPr>
        <w:pStyle w:val="BodyText3"/>
        <w:tabs>
          <w:tab w:val="clear" w:pos="0"/>
          <w:tab w:val="left" w:pos="1080" w:leader="none"/>
        </w:tabs>
        <w:rPr>
          <w:color w:val="auto"/>
          <w:sz w:val="22"/>
        </w:rPr>
      </w:pPr>
      <w:r>
        <w:rPr>
          <w:color w:val="auto"/>
          <w:sz w:val="22"/>
        </w:rPr>
        <w:t xml:space="preserve">After the installation of the three (3) temporary piezometers at the Lumberton cogeneration facility, the piezometers were gauged to measure the depth to the groundwater. The measured depths were subtracted from the established elevation of each piezometer measuring point to calculate the water table elevation.  A local shallow groundwater elevation map for the Lumberton cogeneration facility was developed based on groundwater elevations obtained from each piezometer as shown on Figure 1.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color w:val="auto"/>
          <w:sz w:val="22"/>
        </w:rPr>
        <w:t>A groundwater elevation map was not generated for the Elizabethtown cogeneration facility due to the installation of only two (2) temporary piezometers. Temporary piezometers were not installed at the railcar unloading site and thus a groundwater elevation map was not produced for this site.</w:t>
      </w:r>
    </w:p>
    <w:p>
      <w:pPr>
        <w:pStyle w:val="Heading2"/>
        <w:ind w:hanging="0" w:start="0"/>
        <w:rPr>
          <w:sz w:val="22"/>
        </w:rPr>
      </w:pPr>
      <w:bookmarkStart w:id="19" w:name="__RefHeading___Toc502019987"/>
      <w:bookmarkEnd w:id="19"/>
      <w:r>
        <w:rPr>
          <w:sz w:val="22"/>
        </w:rPr>
        <w:t>Site Survey</w:t>
      </w:r>
    </w:p>
    <w:p>
      <w:pPr>
        <w:pStyle w:val="BodyText3"/>
        <w:tabs>
          <w:tab w:val="clear" w:pos="0"/>
          <w:tab w:val="left" w:pos="1080" w:leader="none"/>
        </w:tabs>
        <w:rPr>
          <w:color w:val="auto"/>
          <w:sz w:val="22"/>
        </w:rPr>
      </w:pPr>
      <w:r>
        <w:rPr>
          <w:color w:val="auto"/>
          <w:sz w:val="22"/>
        </w:rPr>
        <w:t xml:space="preserve">The location and elevation of each temporary piezometer installed at the Lumberton cogeneration facility were surveyed by Taylor Wiseman and Taylor and tied to finished-floor elevations of existing buildings shown on the site plan provided by Cogentrix.  An attempt was made to insert the survey data points onto the existing site plan provided by Cogentrix for the Lumberton facility; however, the existing site plan did not appropriately match with the surveyed location data provided by Taylor Wiseman and Taylor. The surveyed data points were inserted onto the existing site plan and maneuvered to approximate the locations of the temporary piezometers and soil borings. </w:t>
      </w:r>
      <w:r>
        <w:br w:type="page"/>
      </w:r>
    </w:p>
    <w:p>
      <w:pPr>
        <w:pStyle w:val="Heading1"/>
        <w:ind w:hanging="0" w:start="0"/>
        <w:rPr/>
      </w:pPr>
      <w:bookmarkStart w:id="20" w:name="__RefHeading___Toc502019988"/>
      <w:bookmarkEnd w:id="20"/>
      <w:r>
        <w:rPr/>
        <w:t>Investigative Results</w:t>
      </w:r>
    </w:p>
    <w:p>
      <w:pPr>
        <w:pStyle w:val="Heading2"/>
        <w:ind w:hanging="0" w:start="0"/>
        <w:rPr>
          <w:sz w:val="22"/>
        </w:rPr>
      </w:pPr>
      <w:bookmarkStart w:id="21" w:name="__RefHeading___Toc502019989"/>
      <w:bookmarkEnd w:id="21"/>
      <w:r>
        <w:rPr>
          <w:sz w:val="22"/>
        </w:rPr>
        <w:t>Site Geology and Hydrogeology</w:t>
      </w:r>
    </w:p>
    <w:p>
      <w:pPr>
        <w:pStyle w:val="BodyText3"/>
        <w:tabs>
          <w:tab w:val="clear" w:pos="0"/>
          <w:tab w:val="left" w:pos="1080" w:leader="none"/>
        </w:tabs>
        <w:rPr>
          <w:color w:val="auto"/>
          <w:sz w:val="22"/>
        </w:rPr>
      </w:pPr>
      <w:r>
        <w:rPr>
          <w:color w:val="auto"/>
          <w:sz w:val="22"/>
        </w:rPr>
        <w:t>Geologic data was collected from each of the soil borings completed at each facility. The following sections provide a brief description of the encountered geology.</w:t>
      </w:r>
    </w:p>
    <w:p>
      <w:pPr>
        <w:pStyle w:val="Heading3"/>
        <w:ind w:hanging="0" w:start="0"/>
        <w:rPr>
          <w:sz w:val="22"/>
        </w:rPr>
      </w:pPr>
      <w:bookmarkStart w:id="22" w:name="__RefHeading___Toc502019990"/>
      <w:bookmarkEnd w:id="22"/>
      <w:r>
        <w:rPr>
          <w:sz w:val="22"/>
        </w:rPr>
        <w:t>Lumberton Cogeneration Facility</w:t>
      </w:r>
    </w:p>
    <w:p>
      <w:pPr>
        <w:pStyle w:val="BodyText3"/>
        <w:tabs>
          <w:tab w:val="clear" w:pos="0"/>
          <w:tab w:val="left" w:pos="1080" w:leader="none"/>
        </w:tabs>
        <w:rPr>
          <w:color w:val="auto"/>
          <w:sz w:val="22"/>
        </w:rPr>
      </w:pPr>
      <w:r>
        <w:rPr>
          <w:color w:val="auto"/>
          <w:sz w:val="22"/>
        </w:rPr>
        <w:t xml:space="preserve">Based on soil borings the site geology can be described as a medium to fine grained, brown to tan sand with some silt and clay stringers. This unit exists from ground surface to a depth of approximately four (4) to six (6) feet. The shallow water table at the site is found in this lithostratigraphic unit. Beneath the sand unit is a black to dark gray, organic-rich silty clay containing minor quantities of fine-grained sand. This unit was approximately three (3) to four (4) feet in thickness. This clay was penetrated only at the LCP-1 boring location where a medium to coarse-grained, whitish brown quartz sand was encountered. </w:t>
      </w:r>
    </w:p>
    <w:p>
      <w:pPr>
        <w:pStyle w:val="BodyText3"/>
        <w:tabs>
          <w:tab w:val="clear" w:pos="0"/>
          <w:tab w:val="left" w:pos="1080" w:leader="none"/>
        </w:tabs>
        <w:rPr>
          <w:color w:val="auto"/>
          <w:sz w:val="22"/>
        </w:rPr>
      </w:pPr>
      <w:r>
        <w:rPr>
          <w:color w:val="auto"/>
          <w:sz w:val="22"/>
        </w:rPr>
      </w:r>
    </w:p>
    <w:p>
      <w:pPr>
        <w:pStyle w:val="BodyText3"/>
        <w:tabs>
          <w:tab w:val="clear" w:pos="0"/>
          <w:tab w:val="left" w:pos="1080" w:leader="none"/>
        </w:tabs>
        <w:rPr>
          <w:color w:val="auto"/>
          <w:sz w:val="22"/>
        </w:rPr>
      </w:pPr>
      <w:r>
        <w:rPr/>
        <w:t>Hydrogeologically, the water table at this site is found in the surficial brown to tan sand unit.  The water table elevation data collected on December 7, 2000, indicates shallow groundwater flow is towards the north-northeast. The water table map produced (Figure 1) illustrates the interpreted groundwater flow direction. Water level data from piezometer LCP-1 was not used in generation of the groundwater elevation contour map. The water level data from this well is suspect in that it does not fit with the water level data collected from the surrounding piezometers. A possible explanation for this may be due to the stratigraphy encountered in the borings. The geology encountered in boring LCP-1 was slightly different than that encountered in the other piezometers installed around the coal pile. A medium to coarse sand unit was encountered below the dark gray silty clay identified in the borings. This may be influencing the water level recorded for piezometer LCP-1.</w:t>
      </w:r>
    </w:p>
    <w:p>
      <w:pPr>
        <w:pStyle w:val="Heading3"/>
        <w:ind w:hanging="0" w:start="0"/>
        <w:rPr>
          <w:sz w:val="22"/>
        </w:rPr>
      </w:pPr>
      <w:bookmarkStart w:id="23" w:name="__RefHeading___Toc502019991"/>
      <w:r>
        <w:rPr>
          <w:sz w:val="22"/>
        </w:rPr>
        <w:t>Elizabethtown Cogeneration Facility</w:t>
      </w:r>
      <w:bookmarkEnd w:id="23"/>
      <w:r>
        <w:rPr>
          <w:sz w:val="22"/>
        </w:rPr>
        <w:t xml:space="preserve"> </w:t>
      </w:r>
    </w:p>
    <w:p>
      <w:pPr>
        <w:pStyle w:val="BodyText3"/>
        <w:rPr/>
      </w:pPr>
      <w:r>
        <w:rPr/>
        <w:t xml:space="preserve">The soil borings completed at the Elizabethtown cogeneration facility indicated that the site is underlain by a medium to fine-grained, brown to tan silty sand with an approximate thickness ranging from a half foot to two (2) feet in the area of the coal pile. This sand unit was much thicker in the area of the oil/water separator where borings completed indicated a thickness of at least 10 feet. Beneath the sand unit in the area of the coal pile, a massive dark gray clay with a trace of silt was encountered to a depth of approximately 22.5 feet. Borings were not advanced below this clay unit. Borings completed in the ash silo area indicated that ash was present at a thickness of approximately one-half foot, below which a brown silt clay was encountered to a depth of five (5) feet where the borings were terminated.   </w:t>
      </w:r>
    </w:p>
    <w:p>
      <w:pPr>
        <w:pStyle w:val="BodyText3"/>
        <w:rPr/>
      </w:pPr>
      <w:r>
        <w:rPr/>
        <w:t>Hydrogeologically, the water table at this site is found in the surficial brown to tan sand unit.  Due to the installation of only two (2) temporary piezometers, groundwater elevations were not used to calculate groundwater flow direction. Additionally, the piezometer installed in boring ECP-2 was dry.</w:t>
      </w:r>
    </w:p>
    <w:p>
      <w:pPr>
        <w:pStyle w:val="Heading3"/>
        <w:ind w:hanging="0" w:start="0"/>
        <w:rPr>
          <w:sz w:val="22"/>
        </w:rPr>
      </w:pPr>
      <w:bookmarkStart w:id="24" w:name="__RefHeading___Toc502019992"/>
      <w:bookmarkEnd w:id="24"/>
      <w:r>
        <w:rPr>
          <w:sz w:val="22"/>
        </w:rPr>
        <w:t>Railcar Unloading Site</w:t>
      </w:r>
    </w:p>
    <w:p>
      <w:pPr>
        <w:pStyle w:val="Normal"/>
        <w:rPr>
          <w:sz w:val="22"/>
        </w:rPr>
      </w:pPr>
      <w:r>
        <w:rPr>
          <w:sz w:val="22"/>
        </w:rPr>
        <w:t xml:space="preserve">The soil borings completed at the railcar unloading site indicated that the site is underlain by a medium to fine-grained, brown silty sand. The silt and clay content was variable in the sands encountered but generally decreased with depth in the borings completed. The silty sand unit was encountered in all borings completed and saturated conditions were encountered at approximately 12 to 13 feet below ground surface in borings completed near the fuel dispenser area and at approximately seven (7) to eight (8) feet below ground surface in the former coal pile area.   </w:t>
      </w:r>
    </w:p>
    <w:p>
      <w:pPr>
        <w:pStyle w:val="BodyText3"/>
        <w:tabs>
          <w:tab w:val="clear" w:pos="0"/>
          <w:tab w:val="left" w:pos="1080" w:leader="none"/>
        </w:tabs>
        <w:rPr>
          <w:sz w:val="22"/>
        </w:rPr>
      </w:pPr>
      <w:r>
        <w:rPr>
          <w:sz w:val="22"/>
        </w:rPr>
        <w:t>Hydrogeologically, the water table at this site is found in the brown silty sand unit encountered in the borings.  Groundwater elevations were not recorded but flow is inferred to be towards the south and southwest.</w:t>
      </w:r>
    </w:p>
    <w:p>
      <w:pPr>
        <w:pStyle w:val="Heading2"/>
        <w:ind w:hanging="0" w:start="0"/>
        <w:rPr>
          <w:sz w:val="22"/>
        </w:rPr>
      </w:pPr>
      <w:bookmarkStart w:id="25" w:name="__RefHeading___Toc502019993"/>
      <w:r>
        <w:rPr>
          <w:sz w:val="22"/>
        </w:rPr>
        <w:t>Laboratory Data Validation</w:t>
      </w:r>
    </w:p>
    <w:p>
      <w:pPr>
        <w:pStyle w:val="BodyText3"/>
        <w:rPr/>
      </w:pPr>
      <w:r>
        <w:rPr>
          <w:sz w:val="22"/>
        </w:rPr>
        <w:t xml:space="preserve">Five data packages from Pace Analytical Services (Pace) for soil and groundwater samples collected December 5 through 13, 2000 at the Cogentrix sites were reviewed for conformance to the requirements </w:t>
      </w:r>
      <w:r>
        <w:rPr>
          <w:i/>
          <w:sz w:val="22"/>
        </w:rPr>
        <w:t>of SW-846 Test Methods for Evaluating Solid Waste Physical/Chemical Methods</w:t>
      </w:r>
      <w:r>
        <w:rPr>
          <w:sz w:val="22"/>
        </w:rPr>
        <w:t xml:space="preserve"> and </w:t>
      </w:r>
      <w:r>
        <w:rPr>
          <w:i/>
          <w:sz w:val="22"/>
        </w:rPr>
        <w:t>Methods for the Chemical Analysis of Water and Wastes</w:t>
      </w:r>
      <w:r>
        <w:rPr>
          <w:sz w:val="22"/>
        </w:rPr>
        <w:t xml:space="preserve">.  </w:t>
      </w:r>
    </w:p>
    <w:p>
      <w:pPr>
        <w:pStyle w:val="BodyText3"/>
        <w:rPr>
          <w:sz w:val="22"/>
        </w:rPr>
      </w:pPr>
      <w:r>
        <w:rPr>
          <w:sz w:val="22"/>
        </w:rPr>
      </w:r>
    </w:p>
    <w:p>
      <w:pPr>
        <w:pStyle w:val="BodyText3"/>
        <w:rPr>
          <w:sz w:val="22"/>
          <w:lang w:eastAsia="en-US"/>
        </w:rPr>
      </w:pPr>
      <w:r>
        <w:rPr>
          <w:sz w:val="22"/>
          <w:lang w:eastAsia="en-US"/>
        </w:rPr>
        <w:t>Data were validated using the Contract Laboratory Program National Functional Guidelines for Organic Data Review (February 1994) and the Contract Laboratory Program National Functional Guidelines for Inorganic Data Review (February 1994) modified for method specific requirements.  The data validation report is included in Appendix D.</w:t>
      </w:r>
    </w:p>
    <w:p>
      <w:pPr>
        <w:pStyle w:val="Heading2"/>
        <w:ind w:hanging="0" w:start="0"/>
        <w:rPr>
          <w:sz w:val="22"/>
        </w:rPr>
      </w:pPr>
      <w:bookmarkStart w:id="26" w:name="__RefHeading___Toc502019993"/>
      <w:r>
        <w:rPr>
          <w:sz w:val="22"/>
        </w:rPr>
        <w:t>Soils</w:t>
      </w:r>
      <w:bookmarkEnd w:id="26"/>
    </w:p>
    <w:p>
      <w:pPr>
        <w:pStyle w:val="BodyText3"/>
        <w:tabs>
          <w:tab w:val="left" w:pos="0" w:leader="none"/>
          <w:tab w:val="left" w:pos="1080" w:leader="none"/>
        </w:tabs>
        <w:rPr>
          <w:color w:val="auto"/>
          <w:sz w:val="22"/>
        </w:rPr>
      </w:pPr>
      <w:r>
        <w:rPr>
          <w:color w:val="auto"/>
          <w:sz w:val="22"/>
        </w:rPr>
        <w:t>Soil samples collected from the borings completed at the three (3) sites were generally collected near the soil/groundwater interface. The sections below provide a brief description of the analytical data generated from analysis of the collected soil samples.</w:t>
      </w:r>
    </w:p>
    <w:p>
      <w:pPr>
        <w:pStyle w:val="Heading3"/>
        <w:ind w:hanging="0" w:start="0"/>
        <w:rPr>
          <w:sz w:val="22"/>
        </w:rPr>
      </w:pPr>
      <w:bookmarkStart w:id="27" w:name="__RefHeading___Toc502019994"/>
      <w:bookmarkEnd w:id="27"/>
      <w:r>
        <w:rPr>
          <w:sz w:val="22"/>
        </w:rPr>
        <w:t>Lumberton Cogeneration Facility</w:t>
      </w:r>
    </w:p>
    <w:p>
      <w:pPr>
        <w:pStyle w:val="BodyText3"/>
        <w:tabs>
          <w:tab w:val="left" w:pos="0" w:leader="none"/>
          <w:tab w:val="left" w:pos="1080" w:leader="none"/>
        </w:tabs>
        <w:rPr>
          <w:color w:val="auto"/>
          <w:sz w:val="22"/>
        </w:rPr>
      </w:pPr>
      <w:r>
        <w:rPr>
          <w:color w:val="auto"/>
          <w:sz w:val="22"/>
        </w:rPr>
        <w:t xml:space="preserve">One of the soil samples collected in the area of the diesel fuel AST yielded a detection of diesel-range TPH at a concentration of 6.2 milligrams per kilogram (mg/kg). The other soil sample collected did not yield a concentration of TPH above the laboratory method detection limit. This concentration detected is below the NCDENR action limits for TPH in soil (200 mg/kg).   </w:t>
      </w:r>
    </w:p>
    <w:p>
      <w:pPr>
        <w:pStyle w:val="BodyText3"/>
        <w:tabs>
          <w:tab w:val="left" w:pos="0" w:leader="none"/>
          <w:tab w:val="left" w:pos="1080" w:leader="none"/>
        </w:tabs>
        <w:rPr>
          <w:color w:val="auto"/>
          <w:sz w:val="22"/>
        </w:rPr>
      </w:pPr>
      <w:r>
        <w:rPr>
          <w:color w:val="auto"/>
          <w:sz w:val="22"/>
        </w:rPr>
      </w:r>
    </w:p>
    <w:p>
      <w:pPr>
        <w:pStyle w:val="BodyText3"/>
        <w:tabs>
          <w:tab w:val="left" w:pos="0" w:leader="none"/>
          <w:tab w:val="left" w:pos="1080" w:leader="none"/>
        </w:tabs>
        <w:rPr>
          <w:color w:val="auto"/>
          <w:sz w:val="22"/>
        </w:rPr>
      </w:pPr>
      <w:r>
        <w:rPr>
          <w:color w:val="auto"/>
          <w:sz w:val="22"/>
        </w:rPr>
        <w:t xml:space="preserve">Soil samples collected in the area of the oil/water separator yielded concentrations of oil and grease with silica gel cleanup  ranging from 188 mg/kg to 206 mg/kg.  Laboratory analyses did not indicate the presence of PCBs in the soil samples collected.  However, quality control data rendered the results invalid for two samples due to matrix interference likely resulting from the oil and grease compounds. </w:t>
      </w:r>
    </w:p>
    <w:p>
      <w:pPr>
        <w:pStyle w:val="BodyText3"/>
        <w:tabs>
          <w:tab w:val="left" w:pos="0" w:leader="none"/>
          <w:tab w:val="left" w:pos="1080" w:leader="none"/>
        </w:tabs>
        <w:rPr>
          <w:color w:val="auto"/>
          <w:sz w:val="22"/>
        </w:rPr>
      </w:pPr>
      <w:r>
        <w:rPr>
          <w:color w:val="auto"/>
          <w:sz w:val="22"/>
        </w:rPr>
      </w:r>
    </w:p>
    <w:p>
      <w:pPr>
        <w:pStyle w:val="BodyText3"/>
        <w:tabs>
          <w:tab w:val="left" w:pos="0" w:leader="none"/>
          <w:tab w:val="left" w:pos="1080" w:leader="none"/>
        </w:tabs>
        <w:rPr>
          <w:color w:val="auto"/>
          <w:sz w:val="22"/>
        </w:rPr>
      </w:pPr>
      <w:r>
        <w:rPr>
          <w:color w:val="auto"/>
          <w:sz w:val="22"/>
        </w:rPr>
        <w:t>Two soil samples from each boring completed in the ash silo area were submitted to the laboratory for analysis of metals. The laboratory data indicated the detection of arsenic ranging from 0.69 mg/kg to 2 mg/kg; chromium ranging from 0.83 mg/kg to 4.1 mg/kg; copper ranging from 0.41 mg/kg to 2 mg/kg; iron ranging from 490 mg/kg to 4200 mg/kg; lead ranging from 0.94 mg/kg to 3.1 mg/kg; nickel ranging from 0.44 mg/kg to 0.82 mg/kg; selenium at a concentration of 0.65 mg/kg; zinc ranging from 1.1 mg/kg to 5.2 mg/kg; and mercury ranging from 0.0053 mg/kg to 0.0085 mg/kg. A composite ash sample (LAS-5) was also collected from the ground surface in the ash area and concentrations of metals were also reported.</w:t>
      </w:r>
    </w:p>
    <w:p>
      <w:pPr>
        <w:pStyle w:val="BodyText3"/>
        <w:tabs>
          <w:tab w:val="left" w:pos="0" w:leader="none"/>
          <w:tab w:val="left" w:pos="1080" w:leader="none"/>
        </w:tabs>
        <w:rPr>
          <w:color w:val="auto"/>
          <w:sz w:val="22"/>
        </w:rPr>
      </w:pPr>
      <w:r>
        <w:rPr>
          <w:color w:val="auto"/>
          <w:sz w:val="22"/>
        </w:rPr>
      </w:r>
    </w:p>
    <w:p>
      <w:pPr>
        <w:pStyle w:val="BodyText3"/>
        <w:tabs>
          <w:tab w:val="left" w:pos="0" w:leader="none"/>
          <w:tab w:val="left" w:pos="1080" w:leader="none"/>
        </w:tabs>
        <w:rPr>
          <w:color w:val="auto"/>
          <w:sz w:val="22"/>
        </w:rPr>
      </w:pPr>
      <w:r>
        <w:rPr>
          <w:color w:val="auto"/>
          <w:sz w:val="22"/>
        </w:rPr>
        <w:t xml:space="preserve">A summary of the results is included in Table 1.  The laboratory data sheets are included in Appendix C of this report. </w:t>
      </w:r>
    </w:p>
    <w:p>
      <w:pPr>
        <w:pStyle w:val="Heading3"/>
        <w:ind w:hanging="0" w:start="0"/>
        <w:rPr>
          <w:sz w:val="22"/>
        </w:rPr>
      </w:pPr>
      <w:bookmarkStart w:id="28" w:name="__RefHeading___Toc502019995"/>
      <w:bookmarkEnd w:id="28"/>
      <w:r>
        <w:rPr>
          <w:sz w:val="22"/>
        </w:rPr>
        <w:t>Elizabethtown Cogeneration Facility</w:t>
      </w:r>
    </w:p>
    <w:p>
      <w:pPr>
        <w:pStyle w:val="BodyText3"/>
        <w:tabs>
          <w:tab w:val="left" w:pos="0" w:leader="none"/>
          <w:tab w:val="left" w:pos="1080" w:leader="none"/>
        </w:tabs>
        <w:rPr>
          <w:color w:val="auto"/>
          <w:sz w:val="22"/>
        </w:rPr>
      </w:pPr>
      <w:r>
        <w:rPr>
          <w:color w:val="auto"/>
          <w:sz w:val="22"/>
        </w:rPr>
        <w:t>Soil samples collected in the area of the oil/water separator yielded concentrations of oil and grease with silica gel cleanup ranging from less than the detection limit to 202 mg/kg. Laboratory analyses did not indicate the presence of PCBs in the soil samples collected.  However, quality control data rendered the results invalid for one samples due to matrix interference likely resulting from the oil and grease compounds.  (GT check this out)</w:t>
      </w:r>
    </w:p>
    <w:p>
      <w:pPr>
        <w:pStyle w:val="BodyText3"/>
        <w:tabs>
          <w:tab w:val="left" w:pos="0" w:leader="none"/>
          <w:tab w:val="left" w:pos="1080" w:leader="none"/>
        </w:tabs>
        <w:rPr>
          <w:color w:val="auto"/>
          <w:sz w:val="22"/>
        </w:rPr>
      </w:pPr>
      <w:r>
        <w:rPr>
          <w:color w:val="auto"/>
          <w:sz w:val="22"/>
        </w:rPr>
      </w:r>
    </w:p>
    <w:p>
      <w:pPr>
        <w:pStyle w:val="BodyText3"/>
        <w:tabs>
          <w:tab w:val="left" w:pos="0" w:leader="none"/>
          <w:tab w:val="left" w:pos="1080" w:leader="none"/>
        </w:tabs>
        <w:rPr>
          <w:color w:val="auto"/>
          <w:sz w:val="22"/>
        </w:rPr>
      </w:pPr>
      <w:r>
        <w:rPr>
          <w:color w:val="auto"/>
          <w:sz w:val="22"/>
        </w:rPr>
        <w:t>Two soil samples from each boring completed in the ash silo area were submitted to the laboratory for analysis of metals. The laboratory data indicated the detection of arsenic ranging from 3.6 mg/kg to 48 mg/kg; chromium ranging from 24 mg/kg to 170 mg/kg; copper ranging from 4.8 mg/kg to 32 mg/kg; iron ranging from 6100 mg/kg to 62000 mg/kg; lead ranging from 8.8 mg/kg to 22 mg/kg; nickel ranging from 0.73 mg/kg to 1.1 mg/kg; selenium ranging from 0.7 mg/kg to 2.6 mg/kg; zinc ranging from 3.4 mg/kg to 16 mg/kg; and mercury ranging from 0.0052 mg/kg to 0.059 mg/kg. A composite ash sample (EAS-5) was also collected from the ground surface in the ash area and concentrations of metals were also reported.</w:t>
      </w:r>
    </w:p>
    <w:p>
      <w:pPr>
        <w:pStyle w:val="BodyText3"/>
        <w:tabs>
          <w:tab w:val="left" w:pos="0" w:leader="none"/>
          <w:tab w:val="left" w:pos="1080" w:leader="none"/>
        </w:tabs>
        <w:rPr>
          <w:color w:val="auto"/>
          <w:sz w:val="22"/>
        </w:rPr>
      </w:pPr>
      <w:r>
        <w:rPr>
          <w:color w:val="auto"/>
          <w:sz w:val="22"/>
        </w:rPr>
      </w:r>
    </w:p>
    <w:p>
      <w:pPr>
        <w:pStyle w:val="BodyText3"/>
        <w:tabs>
          <w:tab w:val="left" w:pos="0" w:leader="none"/>
          <w:tab w:val="left" w:pos="1080" w:leader="none"/>
        </w:tabs>
        <w:rPr>
          <w:color w:val="auto"/>
          <w:sz w:val="22"/>
        </w:rPr>
      </w:pPr>
      <w:r>
        <w:rPr>
          <w:color w:val="auto"/>
          <w:sz w:val="22"/>
        </w:rPr>
        <w:t>A summary of the results is included in Table 2. The laboratory data sheets are included in Appendix C of this report.</w:t>
      </w:r>
    </w:p>
    <w:p>
      <w:pPr>
        <w:pStyle w:val="Heading3"/>
        <w:ind w:hanging="0" w:start="0"/>
        <w:rPr>
          <w:sz w:val="22"/>
        </w:rPr>
      </w:pPr>
      <w:bookmarkStart w:id="29" w:name="__RefHeading___Toc502019996"/>
      <w:bookmarkEnd w:id="29"/>
      <w:r>
        <w:rPr>
          <w:sz w:val="22"/>
        </w:rPr>
        <w:t>Railcar Unloading Site</w:t>
      </w:r>
    </w:p>
    <w:p>
      <w:pPr>
        <w:pStyle w:val="BodyText3"/>
        <w:tabs>
          <w:tab w:val="left" w:pos="0" w:leader="none"/>
          <w:tab w:val="left" w:pos="1080" w:leader="none"/>
        </w:tabs>
        <w:rPr>
          <w:color w:val="auto"/>
          <w:sz w:val="22"/>
        </w:rPr>
      </w:pPr>
      <w:r>
        <w:rPr>
          <w:color w:val="auto"/>
          <w:sz w:val="22"/>
        </w:rPr>
        <w:t xml:space="preserve">Soil samples collected in the area of the former diesel fuel dispenser were submitted to the laboratory for analysis of diesel-range TPH. Based on the laboratory data, concentrations of TPH were not detected in the soil samples analyzed.   </w:t>
      </w:r>
    </w:p>
    <w:p>
      <w:pPr>
        <w:pStyle w:val="BodyText3"/>
        <w:tabs>
          <w:tab w:val="left" w:pos="0" w:leader="none"/>
          <w:tab w:val="left" w:pos="1080" w:leader="none"/>
        </w:tabs>
        <w:rPr>
          <w:color w:val="auto"/>
          <w:sz w:val="22"/>
        </w:rPr>
      </w:pPr>
      <w:r>
        <w:rPr>
          <w:color w:val="auto"/>
          <w:sz w:val="22"/>
        </w:rPr>
      </w:r>
    </w:p>
    <w:p>
      <w:pPr>
        <w:pStyle w:val="BodyText3"/>
        <w:tabs>
          <w:tab w:val="left" w:pos="0" w:leader="none"/>
          <w:tab w:val="left" w:pos="1080" w:leader="none"/>
        </w:tabs>
        <w:rPr>
          <w:color w:val="auto"/>
          <w:sz w:val="22"/>
        </w:rPr>
      </w:pPr>
      <w:r>
        <w:rPr>
          <w:color w:val="auto"/>
          <w:sz w:val="22"/>
        </w:rPr>
        <w:t xml:space="preserve">A summary of the results is included in Table 3. The laboratory data sheets are included in Appendix C of this report.  </w:t>
      </w:r>
    </w:p>
    <w:p>
      <w:pPr>
        <w:pStyle w:val="Heading2"/>
        <w:ind w:hanging="0" w:start="0"/>
        <w:rPr>
          <w:sz w:val="22"/>
        </w:rPr>
      </w:pPr>
      <w:bookmarkStart w:id="30" w:name="__RefHeading___Toc502019997"/>
      <w:bookmarkEnd w:id="30"/>
      <w:r>
        <w:rPr>
          <w:sz w:val="22"/>
        </w:rPr>
        <w:t>Groundwater</w:t>
      </w:r>
    </w:p>
    <w:p>
      <w:pPr>
        <w:pStyle w:val="BodyText3"/>
        <w:tabs>
          <w:tab w:val="clear" w:pos="0"/>
        </w:tabs>
        <w:rPr>
          <w:color w:val="auto"/>
          <w:sz w:val="22"/>
        </w:rPr>
      </w:pPr>
      <w:r>
        <w:rPr>
          <w:color w:val="auto"/>
          <w:sz w:val="22"/>
        </w:rPr>
        <w:t>Groundwater samples were collected from the temporary piezometers and from the Geoprobe screen point at several boring locations at each site. The results of the laboratory analyses are described below.</w:t>
      </w:r>
    </w:p>
    <w:p>
      <w:pPr>
        <w:pStyle w:val="Heading3"/>
        <w:ind w:hanging="0" w:start="0"/>
        <w:rPr>
          <w:sz w:val="22"/>
        </w:rPr>
      </w:pPr>
      <w:bookmarkStart w:id="31" w:name="__RefHeading___Toc502019998"/>
      <w:bookmarkEnd w:id="31"/>
      <w:r>
        <w:rPr>
          <w:sz w:val="22"/>
        </w:rPr>
        <w:t>Lumberton Cogeneration Facility</w:t>
      </w:r>
    </w:p>
    <w:p>
      <w:pPr>
        <w:pStyle w:val="BodyText3"/>
        <w:tabs>
          <w:tab w:val="clear" w:pos="0"/>
        </w:tabs>
        <w:rPr>
          <w:color w:val="auto"/>
          <w:sz w:val="22"/>
        </w:rPr>
      </w:pPr>
      <w:r>
        <w:rPr>
          <w:color w:val="auto"/>
          <w:sz w:val="22"/>
        </w:rPr>
        <w:t xml:space="preserve">Three groundwater samples were collected from the temporary piezometers installed around the coal pile storage area. Laboratory data indicated the detection of metals, TDS, chlorides and sulfate. A summary of the laboratory data is provided in Table 4. Of the detected parameters, chromium, iron, lead, and sulfate were detected at concentrations above the NCDENR groundwater quality standards (15A NCAC 2L). The concentrations detected were generally slightly above the respective groundwater quality standard and may be a result of the turbidity of the groundwater sample.   </w:t>
      </w:r>
    </w:p>
    <w:p>
      <w:pPr>
        <w:pStyle w:val="BodyText3"/>
        <w:tabs>
          <w:tab w:val="clear" w:pos="0"/>
        </w:tabs>
        <w:rPr>
          <w:color w:val="auto"/>
          <w:sz w:val="22"/>
        </w:rPr>
      </w:pPr>
      <w:r>
        <w:rPr>
          <w:color w:val="auto"/>
          <w:sz w:val="22"/>
        </w:rPr>
      </w:r>
    </w:p>
    <w:p>
      <w:pPr>
        <w:pStyle w:val="BodyText3"/>
        <w:tabs>
          <w:tab w:val="clear" w:pos="0"/>
        </w:tabs>
        <w:rPr>
          <w:color w:val="auto"/>
          <w:sz w:val="22"/>
        </w:rPr>
      </w:pPr>
      <w:r>
        <w:rPr>
          <w:color w:val="auto"/>
          <w:sz w:val="22"/>
        </w:rPr>
        <w:t>The groundwater sample collected from the diesel fuel AST area was analyzed for diesel-range TPH. Results indicated the detection of TPH at a concentration of 0.72 milligrams per liter (mg/l). There is not a standard for TPH in groundwater.</w:t>
      </w:r>
    </w:p>
    <w:p>
      <w:pPr>
        <w:pStyle w:val="BodyText3"/>
        <w:tabs>
          <w:tab w:val="clear" w:pos="0"/>
        </w:tabs>
        <w:rPr>
          <w:color w:val="auto"/>
          <w:sz w:val="22"/>
        </w:rPr>
      </w:pPr>
      <w:r>
        <w:rPr>
          <w:color w:val="auto"/>
          <w:sz w:val="22"/>
        </w:rPr>
      </w:r>
    </w:p>
    <w:p>
      <w:pPr>
        <w:pStyle w:val="BodyText3"/>
        <w:tabs>
          <w:tab w:val="clear" w:pos="0"/>
        </w:tabs>
        <w:rPr>
          <w:color w:val="auto"/>
          <w:sz w:val="22"/>
        </w:rPr>
      </w:pPr>
      <w:r>
        <w:rPr>
          <w:color w:val="auto"/>
          <w:sz w:val="22"/>
        </w:rPr>
        <w:t>Oil and grease with silica gel cleanup was analyzed on the groundwater samples collected from the oil/water separator area. Additionally PCB’s were analyzed. Laboratory data indicated the detection of oil and grease at concentrations ranging from 1.1 mg/l to 3 mg/l. Laboratory analyses did not indicate the presence of PCBs in the samples collected.  However, quality control data rendered the results invalid for two samples due to matrix interference likely resulting from the oil and grease compounds.</w:t>
      </w:r>
    </w:p>
    <w:p>
      <w:pPr>
        <w:pStyle w:val="Heading3"/>
        <w:ind w:hanging="0" w:start="0"/>
        <w:rPr>
          <w:sz w:val="22"/>
        </w:rPr>
      </w:pPr>
      <w:bookmarkStart w:id="32" w:name="__RefHeading___Toc502019999"/>
      <w:bookmarkEnd w:id="32"/>
      <w:r>
        <w:rPr>
          <w:sz w:val="22"/>
        </w:rPr>
        <w:t>Railcar Unloading Site</w:t>
      </w:r>
    </w:p>
    <w:p>
      <w:pPr>
        <w:pStyle w:val="BodyText3"/>
        <w:tabs>
          <w:tab w:val="clear" w:pos="0"/>
        </w:tabs>
        <w:rPr>
          <w:color w:val="auto"/>
          <w:sz w:val="22"/>
        </w:rPr>
      </w:pPr>
      <w:r>
        <w:rPr>
          <w:color w:val="auto"/>
          <w:sz w:val="22"/>
        </w:rPr>
        <w:t xml:space="preserve">Groundwater samples were collected from the diesel fuel dispenser area and the coal pile area and analyzed for diesel-range TPH, metals, TDS, sulfate and chloride. Concentrations of TPH were not detected in the groundwater samples analyzed. Of the metals detected, chromium, iron, lead and nickel were detected above the NCDENR groundwater quality standards. Sulfate was also reported above the NCDENR groundwater quality standard. The concentrations detected were generally slightly above the groundwater quality standards and may be a result of the turbidity of the collected sample. </w:t>
      </w:r>
      <w:r>
        <w:br w:type="page"/>
      </w:r>
    </w:p>
    <w:p>
      <w:pPr>
        <w:pStyle w:val="Heading1"/>
        <w:ind w:hanging="0" w:start="0"/>
        <w:rPr/>
      </w:pPr>
      <w:bookmarkStart w:id="33" w:name="__RefHeading___Toc502020000"/>
      <w:bookmarkEnd w:id="33"/>
      <w:r>
        <w:rPr/>
        <w:t>Conclusions and Recommendations</w:t>
      </w:r>
    </w:p>
    <w:p>
      <w:pPr>
        <w:pStyle w:val="BodyText3"/>
        <w:rPr>
          <w:sz w:val="22"/>
        </w:rPr>
      </w:pPr>
      <w:r>
        <w:rPr>
          <w:sz w:val="22"/>
        </w:rPr>
        <w:t>The following sections provide a brief conclusion and recommendations for each of the sites investigated as part of this LSA.</w:t>
      </w:r>
    </w:p>
    <w:p>
      <w:pPr>
        <w:pStyle w:val="BodyText3"/>
        <w:rPr>
          <w:sz w:val="22"/>
        </w:rPr>
      </w:pPr>
      <w:r>
        <w:rPr>
          <w:sz w:val="22"/>
        </w:rPr>
      </w:r>
    </w:p>
    <w:p>
      <w:pPr>
        <w:pStyle w:val="Heading2"/>
        <w:ind w:hanging="0" w:start="0"/>
        <w:rPr>
          <w:sz w:val="22"/>
        </w:rPr>
      </w:pPr>
      <w:bookmarkStart w:id="34" w:name="__RefHeading___Toc502020001"/>
      <w:bookmarkEnd w:id="34"/>
      <w:r>
        <w:rPr>
          <w:sz w:val="22"/>
        </w:rPr>
        <w:t>Lumberton Cogeneration Facility</w:t>
      </w:r>
    </w:p>
    <w:p>
      <w:pPr>
        <w:pStyle w:val="BodyText3"/>
        <w:rPr>
          <w:sz w:val="22"/>
        </w:rPr>
      </w:pPr>
      <w:r>
        <w:rPr>
          <w:sz w:val="22"/>
        </w:rPr>
        <w:t>In brief, ENSR collected 14 soil samples and eight (8) groundwater samples from borings and temporary piezometers installed at the Lumberton cogeneration facility during this LSA. Groundwater elevation measurements were also collected to evaluate shallow flow direction. ENSR concludes the following based on this LSA.</w:t>
      </w:r>
    </w:p>
    <w:p>
      <w:pPr>
        <w:pStyle w:val="BodyText3"/>
        <w:rPr>
          <w:sz w:val="22"/>
        </w:rPr>
      </w:pPr>
      <w:r>
        <w:rPr>
          <w:sz w:val="22"/>
        </w:rPr>
      </w:r>
    </w:p>
    <w:p>
      <w:pPr>
        <w:pStyle w:val="BodyText3"/>
        <w:numPr>
          <w:ilvl w:val="0"/>
          <w:numId w:val="3"/>
        </w:numPr>
        <w:rPr>
          <w:sz w:val="22"/>
        </w:rPr>
      </w:pPr>
      <w:r>
        <w:rPr>
          <w:sz w:val="22"/>
        </w:rPr>
        <w:t xml:space="preserve">Site geology and hydrogeology generally reflect regional conditions.  Soil data information reveals a relatively thin silty sand unit beneath the facility that is underlain by an organic-rich silty clay unit. Groundwater flow in the shallow aquifer is towards the north-northeast. This silty clay unit exists such that </w:t>
      </w:r>
      <w:r>
        <w:rPr>
          <w:color w:val="auto"/>
          <w:sz w:val="22"/>
        </w:rPr>
        <w:t xml:space="preserve">groundwater flow and infiltration rates in the vertical direction are expected to be relatively low. </w:t>
      </w:r>
      <w:r>
        <w:rPr>
          <w:i/>
          <w:color w:val="auto"/>
          <w:sz w:val="22"/>
        </w:rPr>
        <w:t>Therefore, impact and transport of non-naturally occurring compounds would be expected to be limited with low potential for migration.</w:t>
      </w:r>
    </w:p>
    <w:p>
      <w:pPr>
        <w:pStyle w:val="BodyText3"/>
        <w:rPr>
          <w:sz w:val="22"/>
        </w:rPr>
      </w:pPr>
      <w:r>
        <w:rPr>
          <w:sz w:val="22"/>
        </w:rPr>
      </w:r>
    </w:p>
    <w:p>
      <w:pPr>
        <w:pStyle w:val="BodyText3"/>
        <w:numPr>
          <w:ilvl w:val="0"/>
          <w:numId w:val="3"/>
        </w:numPr>
        <w:rPr>
          <w:sz w:val="22"/>
        </w:rPr>
      </w:pPr>
      <w:r>
        <w:rPr>
          <w:sz w:val="22"/>
        </w:rPr>
        <w:t xml:space="preserve">The collected groundwater samples from the temporary piezometers around the coal pile area were analyzed for metals, chloride, sulfate and TDS. Analytical data indicate that groundwater samples collected yielded concentrations of select metals and sulfate slightly above the NCDENR groundwater quality standards.  Although certain constituents are in concentrations above groundwater protection standards, ENSR suggests the results are not representative of in-situ conditions but biased based on the sampling and analytical methods performed.  ENSR offers the following explanation in support of our conclusion.  The concentration of metals and sulfate are related to the total dissolved solids concentration in the groundwater samples. The constituents detected are common to both naturally occurring soils in the Coastal Plain and to coal. The groundwater sample collection procedure, although in accordance with applicable procedures, produced turbid samples.  The turbid samples were placed in laboratory prepared, pre-acidified jars containing nitric acid.  Consequently, non-soluble inorganic constituents (i.e. the suspended sediment) became soluble in the acidic containers.  The laboratory analytical method produced results reported as total metals content.  Thus the data are conservatively skewed to indicate artificially leachable results instead of actual concentrations at normal soil and groundwater pH conditions. If groundwater were significantly contaminated with coal products, ENSR would expect to see concentrations much higher than reported.  </w:t>
      </w:r>
      <w:r>
        <w:rPr>
          <w:i/>
          <w:sz w:val="22"/>
        </w:rPr>
        <w:t>Based on completion of this assessment, n</w:t>
      </w:r>
      <w:r>
        <w:rPr>
          <w:i/>
          <w:color w:val="auto"/>
          <w:sz w:val="22"/>
        </w:rPr>
        <w:t>o further action is recommended to assess groundwater conditions associated with the coal piles.</w:t>
      </w:r>
    </w:p>
    <w:p>
      <w:pPr>
        <w:pStyle w:val="BodyText3"/>
        <w:rPr>
          <w:sz w:val="22"/>
        </w:rPr>
      </w:pPr>
      <w:r>
        <w:rPr>
          <w:sz w:val="22"/>
        </w:rPr>
      </w:r>
    </w:p>
    <w:p>
      <w:pPr>
        <w:pStyle w:val="BodyText3"/>
        <w:numPr>
          <w:ilvl w:val="0"/>
          <w:numId w:val="3"/>
        </w:numPr>
        <w:rPr>
          <w:sz w:val="22"/>
        </w:rPr>
      </w:pPr>
      <w:r>
        <w:rPr>
          <w:sz w:val="22"/>
        </w:rPr>
        <w:t xml:space="preserve">Analytical data collected in the area of the diesel fuel AST yielded a detection of diesel-range TPH in both soil and groundwater samples collected in this area. The concentration of TPH detected in the soil sample (6.2 mg/kg) is below the NCDENR action level for TPH (10 mg/kg). A slight amount of TPH was detected in the groundwater sample (0.72 mg/l) suggesting the groundwater has been impacted by diesel fuel.  There is no NCDENR action level for TPH in groundwater.  </w:t>
      </w:r>
      <w:r>
        <w:rPr>
          <w:i/>
          <w:sz w:val="22"/>
        </w:rPr>
        <w:t>ENSR concludes the levels detected in soil and groundwater are low and that additional investigation in this area is not warranted.  Based on visual observations of oil- stained soils, we recommend limited soil excavation around the drainage valve area of the diesel fuel AST.  Source removal and attenuation of petroleum constituents by natural mechanism will likely result in rapid degradation of the petroleum constituents detected in groundwater.</w:t>
      </w:r>
      <w:r>
        <w:rPr>
          <w:sz w:val="22"/>
        </w:rPr>
        <w:t xml:space="preserve"> </w:t>
      </w:r>
    </w:p>
    <w:p>
      <w:pPr>
        <w:pStyle w:val="BodyText3"/>
        <w:rPr>
          <w:sz w:val="22"/>
        </w:rPr>
      </w:pPr>
      <w:r>
        <w:rPr>
          <w:sz w:val="22"/>
        </w:rPr>
      </w:r>
    </w:p>
    <w:p>
      <w:pPr>
        <w:pStyle w:val="BodyText3"/>
        <w:numPr>
          <w:ilvl w:val="0"/>
          <w:numId w:val="3"/>
        </w:numPr>
        <w:rPr>
          <w:sz w:val="22"/>
        </w:rPr>
      </w:pPr>
      <w:r>
        <w:rPr>
          <w:sz w:val="22"/>
        </w:rPr>
        <w:t xml:space="preserve">Samples of soil and groundwater collected from borings completed in the oil/water separator area yielded concentrations of oil and grease above the laboratory detection limits. The concentrations of oil and grease (silica gel cleanup method) detected in the soil are in the range of 188 mg/kg to 206 mg/kg, with the NCDENR action level for oil and grease being 200 mg/kg. Additionally concentrations of oil and grease were detected in the groundwater samples collected. The soils were also analyzed for PCB content.  No PCB’s were detected.  As noted in Appendix D, the surrogate recovery was determined to be outside laboratory quality control limits resulting in the PCB data qualified as estimated.  This is explained in that sample interference was noted by the laboratory when the samples were scanned for PCB’s, indicating that compounds were present in the samples that could not be readily identified by the PCB analytical method. The laboratory suggests the oil and grease compounds created the interference.  </w:t>
      </w:r>
      <w:r>
        <w:rPr>
          <w:i/>
          <w:sz w:val="22"/>
        </w:rPr>
        <w:t xml:space="preserve">Therefore, ENSR concludes that further action is necessary in the area of the oil/water separator to properly characterize the impacts to soil and groundwater. It is recommended that a permanent monitoring well be installed such that routine monitoring may be conducted for further evaluation of this area. </w:t>
      </w:r>
      <w:r>
        <w:rPr>
          <w:sz w:val="22"/>
        </w:rPr>
        <w:t xml:space="preserve"> </w:t>
      </w:r>
    </w:p>
    <w:p>
      <w:pPr>
        <w:pStyle w:val="BodyText3"/>
        <w:rPr>
          <w:sz w:val="22"/>
        </w:rPr>
      </w:pPr>
      <w:r>
        <w:rPr>
          <w:sz w:val="22"/>
        </w:rPr>
      </w:r>
    </w:p>
    <w:p>
      <w:pPr>
        <w:pStyle w:val="BodyText3"/>
        <w:numPr>
          <w:ilvl w:val="0"/>
          <w:numId w:val="3"/>
        </w:numPr>
        <w:rPr>
          <w:sz w:val="22"/>
        </w:rPr>
      </w:pPr>
      <w:r>
        <w:rPr>
          <w:sz w:val="22"/>
        </w:rPr>
        <w:t>A composite ash sample (LAS-5) was collected at ground surface in the area of the ash silos and analyzed for metals. The composite sample yielded elevated concentrations of metals. Soil samples collected from the ash silo area also yielded concentrations of metals above the laboratory detection limits.  As would be expected, the concentrations of metals detected in the soil samples collected were below those detected in the composite sample. The metals concentrations were compared to published soil background data (</w:t>
      </w:r>
      <w:r>
        <w:rPr>
          <w:i/>
          <w:sz w:val="22"/>
        </w:rPr>
        <w:t>Elements in North American Soils</w:t>
      </w:r>
      <w:r>
        <w:rPr>
          <w:sz w:val="22"/>
        </w:rPr>
        <w:t xml:space="preserve">, Dragun, 1991) for soils in North Carolina and the Eastern US.  Based on this comparison, the metals concentrations for soils collected below ground surface were within typical background ranges.  However, the ash sample produced results for certain metals in concentrations above typical background conditions.  Based on visual observations during soil boring installation, the top six (6) to eight (8) inches of the area investigated consists of the black ash material. </w:t>
      </w:r>
      <w:r>
        <w:rPr>
          <w:i/>
          <w:sz w:val="22"/>
        </w:rPr>
        <w:t>ENSR recommends that the top layer of ash present in this area be removed and properly disposed.  Additionally, ENSR recommends ash handling and dispensing practices be improved to eliminate or reduce the on-site ash disposal practice.</w:t>
      </w:r>
    </w:p>
    <w:p>
      <w:pPr>
        <w:pStyle w:val="Heading2"/>
        <w:ind w:hanging="0" w:start="0"/>
        <w:rPr>
          <w:sz w:val="22"/>
        </w:rPr>
      </w:pPr>
      <w:bookmarkStart w:id="35" w:name="__RefHeading___Toc502020002"/>
      <w:bookmarkEnd w:id="35"/>
      <w:r>
        <w:rPr>
          <w:sz w:val="22"/>
        </w:rPr>
        <w:t>Elizabethtown Cogeneration Facility</w:t>
      </w:r>
    </w:p>
    <w:p>
      <w:pPr>
        <w:pStyle w:val="BodyText3"/>
        <w:rPr>
          <w:sz w:val="22"/>
        </w:rPr>
      </w:pPr>
      <w:r>
        <w:rPr>
          <w:sz w:val="22"/>
        </w:rPr>
        <w:t>In brief, ENSR collected 11 soil samples and four (4) groundwater samples from borings and temporary piezometers installed at the Elizabethtown cogeneration facility during this LSA. ENSR concludes the following bases on this LSA.</w:t>
      </w:r>
    </w:p>
    <w:p>
      <w:pPr>
        <w:pStyle w:val="BodyText3"/>
        <w:rPr>
          <w:sz w:val="22"/>
        </w:rPr>
      </w:pPr>
      <w:r>
        <w:rPr>
          <w:sz w:val="22"/>
        </w:rPr>
      </w:r>
    </w:p>
    <w:p>
      <w:pPr>
        <w:pStyle w:val="BodyText3"/>
        <w:numPr>
          <w:ilvl w:val="0"/>
          <w:numId w:val="3"/>
        </w:numPr>
        <w:rPr>
          <w:sz w:val="22"/>
        </w:rPr>
      </w:pPr>
      <w:r>
        <w:rPr>
          <w:sz w:val="22"/>
        </w:rPr>
        <w:t xml:space="preserve">Site geology and hydrogeology generally reflect regional conditions.  Soil data information reveals a relatively thin silty sand unit beneath the facility that is underlain by a thick and massive clay unit. The thin sand unit and massive silty clay unit exist such that </w:t>
      </w:r>
      <w:r>
        <w:rPr>
          <w:color w:val="auto"/>
          <w:sz w:val="22"/>
        </w:rPr>
        <w:t xml:space="preserve">groundwater flow and infiltration rates in the vertical and horizontal directions are expected to be relatively low. </w:t>
      </w:r>
      <w:r>
        <w:rPr>
          <w:i/>
          <w:color w:val="auto"/>
          <w:sz w:val="22"/>
        </w:rPr>
        <w:t>Therefore, impact and transport of non-naturally occurring compounds would be expected to be limited with low potential for migration.</w:t>
      </w:r>
    </w:p>
    <w:p>
      <w:pPr>
        <w:pStyle w:val="BodyText3"/>
        <w:rPr>
          <w:sz w:val="22"/>
        </w:rPr>
      </w:pPr>
      <w:r>
        <w:rPr>
          <w:sz w:val="22"/>
        </w:rPr>
      </w:r>
    </w:p>
    <w:p>
      <w:pPr>
        <w:pStyle w:val="BodyText3"/>
        <w:numPr>
          <w:ilvl w:val="0"/>
          <w:numId w:val="3"/>
        </w:numPr>
        <w:rPr>
          <w:sz w:val="22"/>
        </w:rPr>
      </w:pPr>
      <w:r>
        <w:rPr>
          <w:sz w:val="22"/>
        </w:rPr>
        <w:t xml:space="preserve">The collected groundwater sample from the temporary piezometer installed around the coal pile area was analyzed for metals, chloride, sulfate and TDS. Analytical data indicate that groundwater samples collected yielded concentrations of select metals and sulfate slightly above the NCDENR groundwater quality standards.  Although certain constituents are in concentrations above groundwater protection standards, ENSR suggests the results are not representative of in-situ conditions but biased based on the sampling and analytical methods performed.  ENSR offers the following explanation in support of our conclusion.  The concentration of metals and sulfate are related to the total dissolved solids concentration in the groundwater samples. The constituents detected are common to both naturally occurring soils in the Coastal Plain and to coal.  The groundwater sample collection procedure, although in accordance with applicable procedures, produced turbid samples.  The turbid samples were placed in laboratory prepared, pre-acidified jars containing nitric acid.  Consequently, non-soluble inorganic constituents (i.e. the suspended sediment) became soluble in the acidic containers.  The laboratory analytical method produced results reported as total metals content.  Thus the data are conservatively skewed to indicate artificially leachable results instead of actual concentrations at normal soil and groundwater pH conditions. If groundwater were significantly contaminated with coal products, ENSR would expect to see concentrations much higher than reported.  </w:t>
      </w:r>
      <w:r>
        <w:rPr>
          <w:i/>
          <w:sz w:val="22"/>
        </w:rPr>
        <w:t>Based on completion of this assessment, n</w:t>
      </w:r>
      <w:r>
        <w:rPr>
          <w:i/>
          <w:color w:val="auto"/>
          <w:sz w:val="22"/>
        </w:rPr>
        <w:t>o further action is recommended to assess groundwater conditions associated with the coal piles.</w:t>
      </w:r>
    </w:p>
    <w:p>
      <w:pPr>
        <w:pStyle w:val="BodyText3"/>
        <w:rPr>
          <w:sz w:val="22"/>
        </w:rPr>
      </w:pPr>
      <w:r>
        <w:rPr>
          <w:sz w:val="22"/>
        </w:rPr>
      </w:r>
    </w:p>
    <w:p>
      <w:pPr>
        <w:pStyle w:val="BodyText3"/>
        <w:numPr>
          <w:ilvl w:val="0"/>
          <w:numId w:val="3"/>
        </w:numPr>
        <w:rPr>
          <w:sz w:val="22"/>
        </w:rPr>
      </w:pPr>
      <w:r>
        <w:rPr>
          <w:sz w:val="22"/>
        </w:rPr>
        <w:t xml:space="preserve">Samples of soil and groundwater collected from borings completed in the oil/water separator area yielded concentrations of oil and grease above the laboratory detection limits. The concentration of oil and grease detected in the soil was 202 mg/kg, with the NCDENR action level for oil and grease being 200 mg/kg.  Additionally concentrations of oil and grease were detected in the groundwater samples collected. The soils were also analyzed for PCB content.  No PCB’s were detected.  As noted in Appendix D, the surrogate recovery was determined to be outside laboratory quality control limits resulting in the PCB data qualified as estimated.  This is explained in that sample interference was noted by the laboratory when the samples were scanned for PCB’s, indicating that compounds were present in the samples that could not be readily identified by the PCB analytical method. The laboratory suggests the oil and grease compounds created the interference.  </w:t>
      </w:r>
      <w:r>
        <w:rPr>
          <w:i/>
          <w:sz w:val="22"/>
        </w:rPr>
        <w:t xml:space="preserve">Therefore, ENSR concludes that further action is necessary in the area of the oil/water separator to properly characterize the impacts to soil and groundwater. It is recommended that a permanent monitoring well be installed such that routine monitoring may be conducted for further evaluation of this area. </w:t>
      </w:r>
    </w:p>
    <w:p>
      <w:pPr>
        <w:pStyle w:val="BodyText3"/>
        <w:rPr>
          <w:sz w:val="22"/>
        </w:rPr>
      </w:pPr>
      <w:r>
        <w:rPr>
          <w:sz w:val="22"/>
        </w:rPr>
      </w:r>
    </w:p>
    <w:p>
      <w:pPr>
        <w:pStyle w:val="BodyText3"/>
        <w:numPr>
          <w:ilvl w:val="0"/>
          <w:numId w:val="3"/>
        </w:numPr>
        <w:rPr>
          <w:color w:val="auto"/>
          <w:sz w:val="22"/>
        </w:rPr>
      </w:pPr>
      <w:r>
        <w:rPr>
          <w:sz w:val="22"/>
        </w:rPr>
        <w:t>A composite ash sample (EAS-5) was collected at ground surface in the area of the ash silos and analyzed for metals. The composite sample yielded elevated concentrations of metals. Soil samples collected from the ash silo area also yielded concentrations of metals above the laboratory detection limits.  As would be expected, the concentrations of metals detected in the soil samples collected were below those detected in the composite sample. The metals concentrations were compared to published soil background data (</w:t>
      </w:r>
      <w:r>
        <w:rPr>
          <w:i/>
          <w:sz w:val="22"/>
        </w:rPr>
        <w:t>Elements in North American Soils</w:t>
      </w:r>
      <w:r>
        <w:rPr>
          <w:sz w:val="22"/>
        </w:rPr>
        <w:t xml:space="preserve">, Dragun, 1991) for soils in North Carolina and the Eastern US.  Based on this comparison, the metals concentrations for soils collected below ground surface were within typical background ranges.  However, the ash sample produced results for certain metals in concentrations above typical background conditions.  Based on visual observations during soil boring installation, the top six (6) to eight (8) inches of the area investigated consists of the black ash material. </w:t>
      </w:r>
      <w:r>
        <w:rPr>
          <w:i/>
          <w:sz w:val="22"/>
        </w:rPr>
        <w:t>ENSR recommends that the top layer of ash present in this area be removed and properly disposed.  Additionally, ENSR recommends ash handling and dispensing practices be improved to eliminate or reduce the on-site ash disposal practice.</w:t>
      </w:r>
    </w:p>
    <w:p>
      <w:pPr>
        <w:pStyle w:val="BodyText3"/>
        <w:rPr>
          <w:color w:val="auto"/>
          <w:sz w:val="22"/>
        </w:rPr>
      </w:pPr>
      <w:r>
        <w:rPr>
          <w:color w:val="auto"/>
          <w:sz w:val="22"/>
        </w:rPr>
      </w:r>
    </w:p>
    <w:p>
      <w:pPr>
        <w:pStyle w:val="Heading2"/>
        <w:ind w:hanging="0" w:start="0"/>
        <w:rPr>
          <w:sz w:val="22"/>
        </w:rPr>
      </w:pPr>
      <w:bookmarkStart w:id="36" w:name="__RefHeading___Toc502020003"/>
      <w:bookmarkEnd w:id="36"/>
      <w:r>
        <w:rPr>
          <w:sz w:val="22"/>
        </w:rPr>
        <w:t>Railcar Unloading Site</w:t>
      </w:r>
    </w:p>
    <w:p>
      <w:pPr>
        <w:pStyle w:val="BodyText3"/>
        <w:rPr>
          <w:sz w:val="22"/>
        </w:rPr>
      </w:pPr>
      <w:r>
        <w:rPr>
          <w:sz w:val="22"/>
        </w:rPr>
        <w:t>In brief, ENSR collected 2 soil samples and four (4) groundwater samples from borings installed at the railcar unloading site during this LSA. ENSR concludes the following bases on this LSA.</w:t>
      </w:r>
    </w:p>
    <w:p>
      <w:pPr>
        <w:pStyle w:val="BodyText3"/>
        <w:rPr>
          <w:sz w:val="22"/>
        </w:rPr>
      </w:pPr>
      <w:r>
        <w:rPr>
          <w:sz w:val="22"/>
        </w:rPr>
      </w:r>
    </w:p>
    <w:p>
      <w:pPr>
        <w:pStyle w:val="BodyText3"/>
        <w:numPr>
          <w:ilvl w:val="0"/>
          <w:numId w:val="3"/>
        </w:numPr>
        <w:rPr>
          <w:sz w:val="22"/>
        </w:rPr>
      </w:pPr>
      <w:r>
        <w:rPr>
          <w:sz w:val="22"/>
        </w:rPr>
        <w:t xml:space="preserve">Site geology and hydrogeology generally reflect regional conditions.  Soil data information reveals a silty sand unit beneath the site with decreasing silt and clay content with depth. Saturated soil conditions were encountered at depths ranging from seven (7) feet below ground surface to 12.5 feet below ground surface. </w:t>
      </w:r>
    </w:p>
    <w:p>
      <w:pPr>
        <w:pStyle w:val="BodyText3"/>
        <w:rPr>
          <w:sz w:val="22"/>
        </w:rPr>
      </w:pPr>
      <w:r>
        <w:rPr>
          <w:sz w:val="22"/>
        </w:rPr>
      </w:r>
    </w:p>
    <w:p>
      <w:pPr>
        <w:pStyle w:val="BodyText3"/>
        <w:numPr>
          <w:ilvl w:val="0"/>
          <w:numId w:val="3"/>
        </w:numPr>
        <w:rPr>
          <w:sz w:val="22"/>
        </w:rPr>
      </w:pPr>
      <w:r>
        <w:rPr>
          <w:sz w:val="22"/>
        </w:rPr>
        <w:t xml:space="preserve">The collected groundwater samples from the borings completed in the former coal pile area were analyzed for metals, chloride, sulfate and TDS. Analytical data indicate that groundwater samples collected yielded concentrations of select metals and sulfate above the NCDENR groundwater quality standards. Although certain constituents are in concentrations above groundwater protection standards, ENSR suggests the results are not representative of in-situ conditions but biased based on the sampling and analytical methods performed.  ENSR offers the following explanation in support of our conclusion.  The concentration of metals and sulfate are related to the total dissolved solids concentration in the groundwater samples. The constituents detected are common to both naturally occurring soils in the Coastal Plain and to coal.  The groundwater sample collection procedure, although in accordance with applicable procedures, produced turbid samples.  The turbid samples were placed in laboratory prepared, pre-acidified jars containing nitric acid.  Consequently, non-soluble inorganic constituents (i.e. the suspended sediment) became soluble in the acidic containers.  The laboratory analytical method produced results reported as total metals content.  Thus the data are conservatively skewed to indicate artificially leachable results instead of actual concentrations at normal soil and groundwater pH conditions. If groundwater were significantly contaminated with coal products, ENSR would expect to see concentrations much higher than reported.  </w:t>
      </w:r>
      <w:r>
        <w:rPr>
          <w:i/>
          <w:sz w:val="22"/>
        </w:rPr>
        <w:t>Based on completion of this assessment, n</w:t>
      </w:r>
      <w:r>
        <w:rPr>
          <w:i/>
          <w:color w:val="auto"/>
          <w:sz w:val="22"/>
        </w:rPr>
        <w:t>o further action is recommended to assess groundwater conditions associated with the coal piles.</w:t>
      </w:r>
      <w:r>
        <w:rPr>
          <w:sz w:val="22"/>
        </w:rPr>
        <w:t xml:space="preserve">  </w:t>
      </w:r>
    </w:p>
    <w:p>
      <w:pPr>
        <w:pStyle w:val="BodyText3"/>
        <w:rPr>
          <w:sz w:val="22"/>
        </w:rPr>
      </w:pPr>
      <w:r>
        <w:rPr>
          <w:sz w:val="22"/>
        </w:rPr>
      </w:r>
    </w:p>
    <w:p>
      <w:pPr>
        <w:pStyle w:val="BodyText3"/>
        <w:numPr>
          <w:ilvl w:val="0"/>
          <w:numId w:val="3"/>
        </w:numPr>
        <w:rPr>
          <w:sz w:val="22"/>
        </w:rPr>
      </w:pPr>
      <w:r>
        <w:rPr>
          <w:sz w:val="22"/>
        </w:rPr>
        <w:t>Analytical data collected in the area of the diesel fuel dispenser area did not indicate a detection of diesel-range TPH in the soil or groundwater samples analyzed. ENSR concludes that additional investigation in this area is not required.</w:t>
      </w:r>
    </w:p>
    <w:p>
      <w:pPr>
        <w:pStyle w:val="BodyText3"/>
        <w:rPr>
          <w:sz w:val="22"/>
        </w:rPr>
      </w:pPr>
      <w:r>
        <w:rPr>
          <w:sz w:val="22"/>
        </w:rPr>
      </w:r>
    </w:p>
    <w:p>
      <w:pPr>
        <w:pStyle w:val="Normal"/>
        <w:rPr>
          <w:sz w:val="22"/>
        </w:rPr>
      </w:pPr>
      <w:r>
        <w:rPr>
          <w:sz w:val="22"/>
        </w:rPr>
      </w:r>
    </w:p>
    <w:p>
      <w:pPr>
        <w:pStyle w:val="BodyText3"/>
        <w:rPr>
          <w:sz w:val="22"/>
        </w:rPr>
      </w:pPr>
      <w:r>
        <w:rPr>
          <w:sz w:val="22"/>
        </w:rPr>
      </w:r>
    </w:p>
    <w:p>
      <w:pPr>
        <w:pStyle w:val="BodyText3"/>
        <w:rPr>
          <w:color w:val="auto"/>
          <w:sz w:val="22"/>
        </w:rPr>
      </w:pPr>
      <w:r>
        <w:rPr>
          <w:color w:val="auto"/>
          <w:sz w:val="22"/>
        </w:rPr>
      </w:r>
    </w:p>
    <w:p>
      <w:pPr>
        <w:pStyle w:val="BodyText3"/>
        <w:tabs>
          <w:tab w:val="clear" w:pos="0"/>
        </w:tabs>
        <w:ind w:start="720" w:end="0"/>
        <w:rPr>
          <w:color w:val="auto"/>
          <w:sz w:val="22"/>
        </w:rPr>
      </w:pPr>
      <w:r>
        <w:rPr>
          <w:color w:val="auto"/>
          <w:sz w:val="22"/>
        </w:rPr>
      </w:r>
    </w:p>
    <w:p>
      <w:pPr>
        <w:pStyle w:val="BodyText3"/>
        <w:tabs>
          <w:tab w:val="clear" w:pos="0"/>
        </w:tabs>
        <w:ind w:start="720" w:end="0"/>
        <w:rPr>
          <w:color w:val="auto"/>
          <w:sz w:val="22"/>
        </w:rPr>
      </w:pPr>
      <w:r>
        <w:rPr>
          <w:color w:val="auto"/>
          <w:sz w:val="22"/>
        </w:rPr>
      </w:r>
    </w:p>
    <w:p>
      <w:pPr>
        <w:pStyle w:val="BodyText3"/>
        <w:tabs>
          <w:tab w:val="clear" w:pos="0"/>
        </w:tabs>
        <w:ind w:start="720" w:end="0"/>
        <w:rPr>
          <w:color w:val="auto"/>
          <w:sz w:val="22"/>
        </w:rPr>
      </w:pPr>
      <w:r>
        <w:rPr>
          <w:color w:val="auto"/>
          <w:sz w:val="22"/>
        </w:rPr>
      </w:r>
    </w:p>
    <w:p>
      <w:pPr>
        <w:pStyle w:val="BodyText3"/>
        <w:tabs>
          <w:tab w:val="clear" w:pos="0"/>
        </w:tabs>
        <w:ind w:start="720" w:end="0"/>
        <w:rPr>
          <w:color w:val="auto"/>
          <w:sz w:val="22"/>
        </w:rPr>
      </w:pPr>
      <w:r>
        <w:rPr>
          <w:color w:val="auto"/>
          <w:sz w:val="22"/>
        </w:rPr>
      </w:r>
    </w:p>
    <w:p>
      <w:pPr>
        <w:sectPr>
          <w:headerReference w:type="default" r:id="rId2"/>
          <w:footerReference w:type="default" r:id="rId3"/>
          <w:type w:val="nextPage"/>
          <w:pgSz w:w="12240" w:h="15840"/>
          <w:pgMar w:left="1728" w:right="1152" w:gutter="0" w:header="1080" w:top="1136" w:footer="1080" w:bottom="1136"/>
          <w:pgNumType w:start="1" w:fmt="decimal"/>
          <w:formProt w:val="false"/>
          <w:textDirection w:val="lrTb"/>
          <w:docGrid w:type="default" w:linePitch="360" w:charSpace="0"/>
        </w:sectPr>
        <w:pStyle w:val="BodyText3"/>
        <w:tabs>
          <w:tab w:val="clear" w:pos="0"/>
        </w:tabs>
        <w:ind w:start="720" w:end="0"/>
        <w:rPr>
          <w:color w:val="auto"/>
          <w:sz w:val="22"/>
        </w:rPr>
      </w:pPr>
      <w:r>
        <w:rPr>
          <w:color w:val="auto"/>
          <w:sz w:val="22"/>
        </w:rPr>
      </w:r>
    </w:p>
    <w:p>
      <w:pPr>
        <w:pStyle w:val="Heading"/>
        <w:rPr/>
      </w:pPr>
      <w:r>
        <w:rPr/>
        <w:t>CONTENTS</w:t>
      </w:r>
    </w:p>
    <w:sdt>
      <w:sdtPr>
        <w:docPartObj>
          <w:docPartGallery w:val="Table of Contents"/>
          <w:docPartUnique w:val="true"/>
        </w:docPartObj>
      </w:sdtPr>
      <w:sdtContent>
        <w:p>
          <w:pPr>
            <w:pStyle w:val="TOC1"/>
            <w:rPr>
              <w:sz w:val="22"/>
            </w:rPr>
          </w:pPr>
          <w:r>
            <w:fldChar w:fldCharType="begin"/>
          </w:r>
          <w:r>
            <w:rPr>
              <w:sz w:val="22"/>
            </w:rPr>
            <w:instrText xml:space="preserve"> TOC \o "1-3" </w:instrText>
          </w:r>
          <w:r>
            <w:rPr>
              <w:sz w:val="22"/>
            </w:rPr>
            <w:fldChar w:fldCharType="separate"/>
          </w:r>
          <w:r>
            <w:rPr>
              <w:sz w:val="22"/>
            </w:rPr>
            <w:t>1.0 INTRODUCTION</w:t>
            <w:tab/>
          </w:r>
          <w:hyperlink w:anchor="__RefHeading___Toc502019968">
            <w:r>
              <w:rPr>
                <w:rStyle w:val="IndexLink"/>
                <w:sz w:val="22"/>
              </w:rPr>
              <w:t>1</w:t>
            </w:r>
          </w:hyperlink>
        </w:p>
        <w:p>
          <w:pPr>
            <w:pStyle w:val="TOC2"/>
            <w:tabs>
              <w:tab w:val="clear" w:pos="907"/>
              <w:tab w:val="left" w:pos="892" w:leader="none"/>
              <w:tab w:val="right" w:pos="9360" w:leader="dot"/>
            </w:tabs>
            <w:rPr>
              <w:sz w:val="22"/>
            </w:rPr>
          </w:pPr>
          <w:r>
            <w:rPr>
              <w:sz w:val="22"/>
            </w:rPr>
            <w:t>1.1</w:t>
            <w:tab/>
            <w:t>Background</w:t>
            <w:tab/>
          </w:r>
          <w:hyperlink w:anchor="__RefHeading___Toc502019969">
            <w:r>
              <w:rPr>
                <w:rStyle w:val="IndexLink"/>
                <w:sz w:val="22"/>
              </w:rPr>
              <w:t>1</w:t>
            </w:r>
          </w:hyperlink>
        </w:p>
        <w:p>
          <w:pPr>
            <w:pStyle w:val="TOC2"/>
            <w:tabs>
              <w:tab w:val="clear" w:pos="907"/>
              <w:tab w:val="left" w:pos="892" w:leader="none"/>
              <w:tab w:val="right" w:pos="9360" w:leader="dot"/>
            </w:tabs>
            <w:rPr>
              <w:sz w:val="22"/>
            </w:rPr>
          </w:pPr>
          <w:r>
            <w:rPr>
              <w:sz w:val="22"/>
            </w:rPr>
            <w:t>1.2</w:t>
            <w:tab/>
            <w:t>Previous Investigations</w:t>
            <w:tab/>
          </w:r>
          <w:hyperlink w:anchor="__RefHeading___Toc502019970">
            <w:r>
              <w:rPr>
                <w:rStyle w:val="IndexLink"/>
                <w:sz w:val="22"/>
              </w:rPr>
              <w:t>1</w:t>
            </w:r>
          </w:hyperlink>
        </w:p>
        <w:p>
          <w:pPr>
            <w:pStyle w:val="TOC1"/>
            <w:rPr>
              <w:sz w:val="22"/>
            </w:rPr>
          </w:pPr>
          <w:r>
            <w:rPr>
              <w:sz w:val="22"/>
            </w:rPr>
            <w:t>2.0 Environmental Setting</w:t>
            <w:tab/>
          </w:r>
          <w:hyperlink w:anchor="__RefHeading___Toc502019971">
            <w:r>
              <w:rPr>
                <w:rStyle w:val="IndexLink"/>
                <w:sz w:val="22"/>
              </w:rPr>
              <w:t>2</w:t>
            </w:r>
          </w:hyperlink>
        </w:p>
        <w:p>
          <w:pPr>
            <w:pStyle w:val="TOC2"/>
            <w:tabs>
              <w:tab w:val="clear" w:pos="907"/>
              <w:tab w:val="left" w:pos="892" w:leader="none"/>
              <w:tab w:val="right" w:pos="9360" w:leader="dot"/>
            </w:tabs>
            <w:rPr>
              <w:sz w:val="22"/>
            </w:rPr>
          </w:pPr>
          <w:r>
            <w:rPr>
              <w:sz w:val="22"/>
            </w:rPr>
            <w:t>2.1</w:t>
            <w:tab/>
            <w:t>Physiography, Geology and Hydrogeology</w:t>
            <w:tab/>
          </w:r>
          <w:hyperlink w:anchor="__RefHeading___Toc502019972">
            <w:r>
              <w:rPr>
                <w:rStyle w:val="IndexLink"/>
                <w:sz w:val="22"/>
              </w:rPr>
              <w:t>3</w:t>
            </w:r>
          </w:hyperlink>
        </w:p>
        <w:p>
          <w:pPr>
            <w:pStyle w:val="TOC1"/>
            <w:rPr>
              <w:sz w:val="22"/>
            </w:rPr>
          </w:pPr>
          <w:r>
            <w:rPr>
              <w:sz w:val="22"/>
            </w:rPr>
            <w:t>3.0 Investigative Methods</w:t>
            <w:tab/>
          </w:r>
          <w:hyperlink w:anchor="__RefHeading___Toc502019973">
            <w:r>
              <w:rPr>
                <w:rStyle w:val="IndexLink"/>
                <w:sz w:val="22"/>
              </w:rPr>
              <w:t>5</w:t>
            </w:r>
          </w:hyperlink>
        </w:p>
        <w:p>
          <w:pPr>
            <w:pStyle w:val="TOC2"/>
            <w:tabs>
              <w:tab w:val="clear" w:pos="907"/>
              <w:tab w:val="left" w:pos="892" w:leader="none"/>
              <w:tab w:val="right" w:pos="9360" w:leader="dot"/>
            </w:tabs>
            <w:rPr>
              <w:sz w:val="22"/>
            </w:rPr>
          </w:pPr>
          <w:r>
            <w:rPr>
              <w:sz w:val="22"/>
            </w:rPr>
            <w:t>3.1</w:t>
            <w:tab/>
            <w:t>Soil Borings</w:t>
            <w:tab/>
          </w:r>
          <w:hyperlink w:anchor="__RefHeading___Toc502019974">
            <w:r>
              <w:rPr>
                <w:rStyle w:val="IndexLink"/>
                <w:sz w:val="22"/>
              </w:rPr>
              <w:t>5</w:t>
            </w:r>
          </w:hyperlink>
        </w:p>
        <w:p>
          <w:pPr>
            <w:pStyle w:val="TOC3"/>
            <w:tabs>
              <w:tab w:val="clear" w:pos="1526"/>
              <w:tab w:val="left" w:pos="1541" w:leader="none"/>
              <w:tab w:val="right" w:pos="9360" w:leader="dot"/>
            </w:tabs>
            <w:rPr>
              <w:sz w:val="22"/>
            </w:rPr>
          </w:pPr>
          <w:r>
            <w:rPr>
              <w:sz w:val="22"/>
            </w:rPr>
            <w:t>3.1.1</w:t>
            <w:tab/>
            <w:t>Lumberton Cogeneration Facility</w:t>
            <w:tab/>
          </w:r>
          <w:hyperlink w:anchor="__RefHeading___Toc502019975">
            <w:r>
              <w:rPr>
                <w:rStyle w:val="IndexLink"/>
                <w:sz w:val="22"/>
              </w:rPr>
              <w:t>5</w:t>
            </w:r>
          </w:hyperlink>
        </w:p>
        <w:p>
          <w:pPr>
            <w:pStyle w:val="TOC3"/>
            <w:tabs>
              <w:tab w:val="clear" w:pos="1526"/>
              <w:tab w:val="left" w:pos="1541" w:leader="none"/>
              <w:tab w:val="right" w:pos="9360" w:leader="dot"/>
            </w:tabs>
            <w:rPr>
              <w:sz w:val="22"/>
            </w:rPr>
          </w:pPr>
          <w:r>
            <w:rPr>
              <w:sz w:val="22"/>
            </w:rPr>
            <w:t>3.1.2</w:t>
            <w:tab/>
            <w:t>Elizabethtown Cogeneration Facility</w:t>
            <w:tab/>
          </w:r>
          <w:hyperlink w:anchor="__RefHeading___Toc502019976">
            <w:r>
              <w:rPr>
                <w:rStyle w:val="IndexLink"/>
                <w:sz w:val="22"/>
              </w:rPr>
              <w:t>6</w:t>
            </w:r>
          </w:hyperlink>
        </w:p>
        <w:p>
          <w:pPr>
            <w:pStyle w:val="TOC3"/>
            <w:tabs>
              <w:tab w:val="clear" w:pos="1526"/>
              <w:tab w:val="left" w:pos="1541" w:leader="none"/>
              <w:tab w:val="right" w:pos="9360" w:leader="dot"/>
            </w:tabs>
            <w:rPr>
              <w:sz w:val="22"/>
            </w:rPr>
          </w:pPr>
          <w:r>
            <w:rPr>
              <w:sz w:val="22"/>
            </w:rPr>
            <w:t>3.1.3</w:t>
            <w:tab/>
            <w:t>Railcar Unloading Site</w:t>
            <w:tab/>
          </w:r>
          <w:hyperlink w:anchor="__RefHeading___Toc502019977">
            <w:r>
              <w:rPr>
                <w:rStyle w:val="IndexLink"/>
                <w:sz w:val="22"/>
              </w:rPr>
              <w:t>6</w:t>
            </w:r>
          </w:hyperlink>
        </w:p>
        <w:p>
          <w:pPr>
            <w:pStyle w:val="TOC2"/>
            <w:tabs>
              <w:tab w:val="clear" w:pos="907"/>
              <w:tab w:val="left" w:pos="892" w:leader="none"/>
              <w:tab w:val="right" w:pos="9360" w:leader="dot"/>
            </w:tabs>
            <w:rPr>
              <w:sz w:val="22"/>
            </w:rPr>
          </w:pPr>
          <w:r>
            <w:rPr>
              <w:sz w:val="22"/>
            </w:rPr>
            <w:t>3.2</w:t>
            <w:tab/>
            <w:t>Soil Sampling</w:t>
            <w:tab/>
          </w:r>
          <w:hyperlink w:anchor="__RefHeading___Toc502019978">
            <w:r>
              <w:rPr>
                <w:rStyle w:val="IndexLink"/>
                <w:sz w:val="22"/>
              </w:rPr>
              <w:t>7</w:t>
            </w:r>
          </w:hyperlink>
        </w:p>
        <w:p>
          <w:pPr>
            <w:pStyle w:val="TOC3"/>
            <w:tabs>
              <w:tab w:val="clear" w:pos="1526"/>
              <w:tab w:val="left" w:pos="1541" w:leader="none"/>
              <w:tab w:val="right" w:pos="9360" w:leader="dot"/>
            </w:tabs>
            <w:rPr>
              <w:sz w:val="22"/>
            </w:rPr>
          </w:pPr>
          <w:r>
            <w:rPr>
              <w:sz w:val="22"/>
            </w:rPr>
            <w:t>3.2.1</w:t>
            <w:tab/>
            <w:t>Lumberton Cogeneration Facility</w:t>
            <w:tab/>
          </w:r>
          <w:hyperlink w:anchor="__RefHeading___Toc502019979">
            <w:r>
              <w:rPr>
                <w:rStyle w:val="IndexLink"/>
                <w:sz w:val="22"/>
              </w:rPr>
              <w:t>7</w:t>
            </w:r>
          </w:hyperlink>
        </w:p>
        <w:p>
          <w:pPr>
            <w:pStyle w:val="TOC3"/>
            <w:tabs>
              <w:tab w:val="clear" w:pos="1526"/>
              <w:tab w:val="left" w:pos="1541" w:leader="none"/>
              <w:tab w:val="right" w:pos="9360" w:leader="dot"/>
            </w:tabs>
            <w:rPr>
              <w:sz w:val="22"/>
            </w:rPr>
          </w:pPr>
          <w:r>
            <w:rPr>
              <w:sz w:val="22"/>
            </w:rPr>
            <w:t>3.2.2</w:t>
            <w:tab/>
            <w:t>Elizabethtown Cogeneration Facility</w:t>
            <w:tab/>
          </w:r>
          <w:hyperlink w:anchor="__RefHeading___Toc502019980">
            <w:r>
              <w:rPr>
                <w:rStyle w:val="IndexLink"/>
                <w:sz w:val="22"/>
              </w:rPr>
              <w:t>8</w:t>
            </w:r>
          </w:hyperlink>
        </w:p>
        <w:p>
          <w:pPr>
            <w:pStyle w:val="TOC3"/>
            <w:tabs>
              <w:tab w:val="clear" w:pos="1526"/>
              <w:tab w:val="left" w:pos="1541" w:leader="none"/>
              <w:tab w:val="right" w:pos="9360" w:leader="dot"/>
            </w:tabs>
            <w:rPr>
              <w:sz w:val="22"/>
            </w:rPr>
          </w:pPr>
          <w:r>
            <w:rPr>
              <w:sz w:val="22"/>
            </w:rPr>
            <w:t>3.2.3</w:t>
            <w:tab/>
            <w:t>Railcar Unloading Site</w:t>
            <w:tab/>
          </w:r>
          <w:hyperlink w:anchor="__RefHeading___Toc502019981">
            <w:r>
              <w:rPr>
                <w:rStyle w:val="IndexLink"/>
                <w:sz w:val="22"/>
              </w:rPr>
              <w:t>8</w:t>
            </w:r>
          </w:hyperlink>
        </w:p>
        <w:p>
          <w:pPr>
            <w:pStyle w:val="TOC2"/>
            <w:tabs>
              <w:tab w:val="clear" w:pos="907"/>
              <w:tab w:val="left" w:pos="892" w:leader="none"/>
              <w:tab w:val="right" w:pos="9360" w:leader="dot"/>
            </w:tabs>
            <w:rPr>
              <w:sz w:val="22"/>
            </w:rPr>
          </w:pPr>
          <w:r>
            <w:rPr>
              <w:sz w:val="22"/>
            </w:rPr>
            <w:t>3.3</w:t>
            <w:tab/>
            <w:t>Temporary Piezometer Installation</w:t>
            <w:tab/>
          </w:r>
          <w:hyperlink w:anchor="__RefHeading___Toc502019982">
            <w:r>
              <w:rPr>
                <w:rStyle w:val="IndexLink"/>
                <w:sz w:val="22"/>
              </w:rPr>
              <w:t>9</w:t>
            </w:r>
          </w:hyperlink>
        </w:p>
        <w:p>
          <w:pPr>
            <w:pStyle w:val="TOC3"/>
            <w:tabs>
              <w:tab w:val="clear" w:pos="1526"/>
              <w:tab w:val="left" w:pos="1541" w:leader="none"/>
              <w:tab w:val="right" w:pos="9360" w:leader="dot"/>
            </w:tabs>
            <w:rPr>
              <w:sz w:val="22"/>
            </w:rPr>
          </w:pPr>
          <w:r>
            <w:rPr>
              <w:sz w:val="22"/>
            </w:rPr>
            <w:t>3.3.1</w:t>
            <w:tab/>
            <w:t>Lumberton Cogeneration Facility</w:t>
            <w:tab/>
          </w:r>
          <w:hyperlink w:anchor="__RefHeading___Toc502019983">
            <w:r>
              <w:rPr>
                <w:rStyle w:val="IndexLink"/>
                <w:sz w:val="22"/>
              </w:rPr>
              <w:t>9</w:t>
            </w:r>
          </w:hyperlink>
        </w:p>
        <w:p>
          <w:pPr>
            <w:pStyle w:val="TOC3"/>
            <w:tabs>
              <w:tab w:val="clear" w:pos="1526"/>
              <w:tab w:val="left" w:pos="1541" w:leader="none"/>
              <w:tab w:val="right" w:pos="9360" w:leader="dot"/>
            </w:tabs>
            <w:rPr>
              <w:sz w:val="22"/>
            </w:rPr>
          </w:pPr>
          <w:r>
            <w:rPr>
              <w:sz w:val="22"/>
            </w:rPr>
            <w:t>3.3.2</w:t>
            <w:tab/>
            <w:t>Elizabethtown Cogeneration Facility</w:t>
            <w:tab/>
          </w:r>
          <w:hyperlink w:anchor="__RefHeading___Toc502019984">
            <w:r>
              <w:rPr>
                <w:rStyle w:val="IndexLink"/>
                <w:sz w:val="22"/>
              </w:rPr>
              <w:t>9</w:t>
            </w:r>
          </w:hyperlink>
        </w:p>
        <w:p>
          <w:pPr>
            <w:pStyle w:val="TOC2"/>
            <w:tabs>
              <w:tab w:val="clear" w:pos="907"/>
              <w:tab w:val="left" w:pos="892" w:leader="none"/>
              <w:tab w:val="right" w:pos="9360" w:leader="dot"/>
            </w:tabs>
            <w:rPr>
              <w:sz w:val="22"/>
            </w:rPr>
          </w:pPr>
          <w:r>
            <w:rPr>
              <w:sz w:val="22"/>
            </w:rPr>
            <w:t>3.4</w:t>
            <w:tab/>
            <w:t>Groundwater Sampling</w:t>
            <w:tab/>
          </w:r>
          <w:hyperlink w:anchor="__RefHeading___Toc502019985">
            <w:r>
              <w:rPr>
                <w:rStyle w:val="IndexLink"/>
                <w:sz w:val="22"/>
              </w:rPr>
              <w:t>9</w:t>
            </w:r>
          </w:hyperlink>
        </w:p>
        <w:p>
          <w:pPr>
            <w:pStyle w:val="TOC2"/>
            <w:tabs>
              <w:tab w:val="clear" w:pos="907"/>
              <w:tab w:val="left" w:pos="892" w:leader="none"/>
              <w:tab w:val="right" w:pos="9360" w:leader="dot"/>
            </w:tabs>
            <w:rPr>
              <w:sz w:val="22"/>
            </w:rPr>
          </w:pPr>
          <w:r>
            <w:rPr>
              <w:sz w:val="22"/>
            </w:rPr>
            <w:t>3.5</w:t>
            <w:tab/>
            <w:t>Groundwater Flow</w:t>
            <w:tab/>
          </w:r>
          <w:hyperlink w:anchor="__RefHeading___Toc502019986">
            <w:r>
              <w:rPr>
                <w:rStyle w:val="IndexLink"/>
                <w:sz w:val="22"/>
              </w:rPr>
              <w:t>10</w:t>
            </w:r>
          </w:hyperlink>
        </w:p>
        <w:p>
          <w:pPr>
            <w:pStyle w:val="TOC2"/>
            <w:tabs>
              <w:tab w:val="clear" w:pos="907"/>
              <w:tab w:val="left" w:pos="892" w:leader="none"/>
              <w:tab w:val="right" w:pos="9360" w:leader="dot"/>
            </w:tabs>
            <w:rPr>
              <w:sz w:val="22"/>
            </w:rPr>
          </w:pPr>
          <w:r>
            <w:rPr>
              <w:sz w:val="22"/>
            </w:rPr>
            <w:t>3.6</w:t>
            <w:tab/>
            <w:t>Site Survey</w:t>
            <w:tab/>
          </w:r>
          <w:hyperlink w:anchor="__RefHeading___Toc502019987">
            <w:r>
              <w:rPr>
                <w:rStyle w:val="IndexLink"/>
                <w:sz w:val="22"/>
              </w:rPr>
              <w:t>10</w:t>
            </w:r>
          </w:hyperlink>
        </w:p>
        <w:p>
          <w:pPr>
            <w:pStyle w:val="TOC1"/>
            <w:rPr>
              <w:sz w:val="22"/>
            </w:rPr>
          </w:pPr>
          <w:r>
            <w:rPr>
              <w:sz w:val="22"/>
            </w:rPr>
            <w:t>4.0 Investigative Results</w:t>
            <w:tab/>
          </w:r>
          <w:hyperlink w:anchor="__RefHeading___Toc502019988">
            <w:r>
              <w:rPr>
                <w:rStyle w:val="IndexLink"/>
                <w:sz w:val="22"/>
              </w:rPr>
              <w:t>11</w:t>
            </w:r>
          </w:hyperlink>
        </w:p>
        <w:p>
          <w:pPr>
            <w:pStyle w:val="TOC2"/>
            <w:tabs>
              <w:tab w:val="clear" w:pos="907"/>
              <w:tab w:val="left" w:pos="892" w:leader="none"/>
              <w:tab w:val="right" w:pos="9360" w:leader="dot"/>
            </w:tabs>
            <w:rPr>
              <w:sz w:val="22"/>
            </w:rPr>
          </w:pPr>
          <w:r>
            <w:rPr>
              <w:sz w:val="22"/>
            </w:rPr>
            <w:t>4.1</w:t>
            <w:tab/>
            <w:t>Site Geology and Hydrogeology</w:t>
            <w:tab/>
          </w:r>
          <w:hyperlink w:anchor="__RefHeading___Toc502019989">
            <w:r>
              <w:rPr>
                <w:rStyle w:val="IndexLink"/>
                <w:sz w:val="22"/>
              </w:rPr>
              <w:t>11</w:t>
            </w:r>
          </w:hyperlink>
        </w:p>
        <w:p>
          <w:pPr>
            <w:pStyle w:val="TOC3"/>
            <w:tabs>
              <w:tab w:val="clear" w:pos="1526"/>
              <w:tab w:val="left" w:pos="1541" w:leader="none"/>
              <w:tab w:val="right" w:pos="9360" w:leader="dot"/>
            </w:tabs>
            <w:rPr>
              <w:sz w:val="22"/>
            </w:rPr>
          </w:pPr>
          <w:r>
            <w:rPr>
              <w:sz w:val="22"/>
            </w:rPr>
            <w:t>4.1.1</w:t>
            <w:tab/>
            <w:t>Lumberton Cogeneration Facility</w:t>
            <w:tab/>
          </w:r>
          <w:hyperlink w:anchor="__RefHeading___Toc502019990">
            <w:r>
              <w:rPr>
                <w:rStyle w:val="IndexLink"/>
                <w:sz w:val="22"/>
              </w:rPr>
              <w:t>11</w:t>
            </w:r>
          </w:hyperlink>
        </w:p>
        <w:p>
          <w:pPr>
            <w:pStyle w:val="TOC3"/>
            <w:tabs>
              <w:tab w:val="clear" w:pos="1526"/>
              <w:tab w:val="left" w:pos="1541" w:leader="none"/>
              <w:tab w:val="right" w:pos="9360" w:leader="dot"/>
            </w:tabs>
            <w:rPr>
              <w:sz w:val="22"/>
            </w:rPr>
          </w:pPr>
          <w:r>
            <w:rPr>
              <w:sz w:val="22"/>
            </w:rPr>
            <w:t>4.1.2</w:t>
            <w:tab/>
            <w:t>Elizabethtown Cogeneration Facility</w:t>
            <w:tab/>
          </w:r>
          <w:hyperlink w:anchor="__RefHeading___Toc502019991">
            <w:r>
              <w:rPr>
                <w:rStyle w:val="IndexLink"/>
                <w:sz w:val="22"/>
              </w:rPr>
              <w:t>11</w:t>
            </w:r>
          </w:hyperlink>
        </w:p>
        <w:p>
          <w:pPr>
            <w:pStyle w:val="TOC3"/>
            <w:tabs>
              <w:tab w:val="clear" w:pos="1526"/>
              <w:tab w:val="left" w:pos="1541" w:leader="none"/>
              <w:tab w:val="right" w:pos="9360" w:leader="dot"/>
            </w:tabs>
            <w:rPr>
              <w:sz w:val="22"/>
            </w:rPr>
          </w:pPr>
          <w:r>
            <w:rPr>
              <w:sz w:val="22"/>
            </w:rPr>
            <w:t>4.1.3</w:t>
            <w:tab/>
            <w:t>Railcar Unloading Site</w:t>
            <w:tab/>
          </w:r>
          <w:hyperlink w:anchor="__RefHeading___Toc502019992">
            <w:r>
              <w:rPr>
                <w:rStyle w:val="IndexLink"/>
                <w:sz w:val="22"/>
              </w:rPr>
              <w:t>12</w:t>
            </w:r>
          </w:hyperlink>
        </w:p>
        <w:p>
          <w:pPr>
            <w:pStyle w:val="TOC2"/>
            <w:tabs>
              <w:tab w:val="clear" w:pos="907"/>
              <w:tab w:val="left" w:pos="892" w:leader="none"/>
              <w:tab w:val="right" w:pos="9360" w:leader="dot"/>
            </w:tabs>
            <w:rPr>
              <w:sz w:val="22"/>
            </w:rPr>
          </w:pPr>
          <w:r>
            <w:rPr>
              <w:sz w:val="22"/>
            </w:rPr>
            <w:t>4.2</w:t>
            <w:tab/>
            <w:t>Soils</w:t>
            <w:tab/>
          </w:r>
          <w:hyperlink w:anchor="__RefHeading___Toc502019993">
            <w:r>
              <w:rPr>
                <w:rStyle w:val="IndexLink"/>
                <w:sz w:val="22"/>
              </w:rPr>
              <w:t>12</w:t>
            </w:r>
          </w:hyperlink>
        </w:p>
        <w:p>
          <w:pPr>
            <w:pStyle w:val="TOC3"/>
            <w:tabs>
              <w:tab w:val="clear" w:pos="1526"/>
              <w:tab w:val="left" w:pos="1541" w:leader="none"/>
              <w:tab w:val="right" w:pos="9360" w:leader="dot"/>
            </w:tabs>
            <w:rPr>
              <w:sz w:val="22"/>
            </w:rPr>
          </w:pPr>
          <w:r>
            <w:rPr>
              <w:sz w:val="22"/>
            </w:rPr>
            <w:t>4.2.1</w:t>
            <w:tab/>
            <w:t>Lumberton Cogeneration Facility</w:t>
            <w:tab/>
          </w:r>
          <w:hyperlink w:anchor="__RefHeading___Toc502019994">
            <w:r>
              <w:rPr>
                <w:rStyle w:val="IndexLink"/>
                <w:sz w:val="22"/>
              </w:rPr>
              <w:t>12</w:t>
            </w:r>
          </w:hyperlink>
        </w:p>
        <w:p>
          <w:pPr>
            <w:pStyle w:val="TOC3"/>
            <w:tabs>
              <w:tab w:val="clear" w:pos="1526"/>
              <w:tab w:val="left" w:pos="1541" w:leader="none"/>
              <w:tab w:val="right" w:pos="9360" w:leader="dot"/>
            </w:tabs>
            <w:rPr>
              <w:sz w:val="22"/>
            </w:rPr>
          </w:pPr>
          <w:r>
            <w:rPr>
              <w:sz w:val="22"/>
            </w:rPr>
            <w:t>4.2.2</w:t>
            <w:tab/>
            <w:t>Elizabethtown Cogeneration Facility</w:t>
            <w:tab/>
          </w:r>
          <w:hyperlink w:anchor="__RefHeading___Toc502019995">
            <w:r>
              <w:rPr>
                <w:rStyle w:val="IndexLink"/>
                <w:sz w:val="22"/>
              </w:rPr>
              <w:t>13</w:t>
            </w:r>
          </w:hyperlink>
        </w:p>
        <w:p>
          <w:pPr>
            <w:pStyle w:val="TOC3"/>
            <w:tabs>
              <w:tab w:val="clear" w:pos="1526"/>
              <w:tab w:val="left" w:pos="1541" w:leader="none"/>
              <w:tab w:val="right" w:pos="9360" w:leader="dot"/>
            </w:tabs>
            <w:rPr>
              <w:sz w:val="22"/>
            </w:rPr>
          </w:pPr>
          <w:r>
            <w:rPr>
              <w:sz w:val="22"/>
            </w:rPr>
            <w:t>4.2.3</w:t>
            <w:tab/>
            <w:t>Railcar Unloading Site</w:t>
            <w:tab/>
          </w:r>
          <w:hyperlink w:anchor="__RefHeading___Toc502019996">
            <w:r>
              <w:rPr>
                <w:rStyle w:val="IndexLink"/>
                <w:sz w:val="22"/>
              </w:rPr>
              <w:t>13</w:t>
            </w:r>
          </w:hyperlink>
        </w:p>
        <w:p>
          <w:pPr>
            <w:pStyle w:val="TOC2"/>
            <w:tabs>
              <w:tab w:val="clear" w:pos="907"/>
              <w:tab w:val="left" w:pos="892" w:leader="none"/>
              <w:tab w:val="right" w:pos="9360" w:leader="dot"/>
            </w:tabs>
            <w:rPr>
              <w:sz w:val="22"/>
            </w:rPr>
          </w:pPr>
          <w:r>
            <w:rPr>
              <w:sz w:val="22"/>
            </w:rPr>
            <w:t>4.3</w:t>
            <w:tab/>
            <w:t>Groundwater</w:t>
            <w:tab/>
          </w:r>
          <w:hyperlink w:anchor="__RefHeading___Toc502019997">
            <w:r>
              <w:rPr>
                <w:rStyle w:val="IndexLink"/>
                <w:sz w:val="22"/>
              </w:rPr>
              <w:t>14</w:t>
            </w:r>
          </w:hyperlink>
        </w:p>
        <w:p>
          <w:pPr>
            <w:pStyle w:val="TOC3"/>
            <w:tabs>
              <w:tab w:val="clear" w:pos="1526"/>
              <w:tab w:val="left" w:pos="1541" w:leader="none"/>
              <w:tab w:val="right" w:pos="9360" w:leader="dot"/>
            </w:tabs>
            <w:rPr>
              <w:sz w:val="22"/>
            </w:rPr>
          </w:pPr>
          <w:r>
            <w:rPr>
              <w:sz w:val="22"/>
            </w:rPr>
            <w:t>4.3.1</w:t>
            <w:tab/>
            <w:t>Lumberton Cogeneration Facility</w:t>
            <w:tab/>
          </w:r>
          <w:hyperlink w:anchor="__RefHeading___Toc502019998">
            <w:r>
              <w:rPr>
                <w:rStyle w:val="IndexLink"/>
                <w:sz w:val="22"/>
              </w:rPr>
              <w:t>14</w:t>
            </w:r>
          </w:hyperlink>
        </w:p>
        <w:p>
          <w:pPr>
            <w:pStyle w:val="TOC3"/>
            <w:tabs>
              <w:tab w:val="clear" w:pos="1526"/>
              <w:tab w:val="left" w:pos="1541" w:leader="none"/>
              <w:tab w:val="right" w:pos="9360" w:leader="dot"/>
            </w:tabs>
            <w:rPr>
              <w:sz w:val="22"/>
            </w:rPr>
          </w:pPr>
          <w:r>
            <w:rPr>
              <w:sz w:val="22"/>
            </w:rPr>
            <w:t>4.3.2</w:t>
            <w:tab/>
            <w:t>Railcar Unloading Site</w:t>
            <w:tab/>
          </w:r>
          <w:hyperlink w:anchor="__RefHeading___Toc502019999">
            <w:r>
              <w:rPr>
                <w:rStyle w:val="IndexLink"/>
                <w:sz w:val="22"/>
              </w:rPr>
              <w:t>14</w:t>
            </w:r>
          </w:hyperlink>
        </w:p>
        <w:p>
          <w:pPr>
            <w:pStyle w:val="TOC1"/>
            <w:rPr>
              <w:sz w:val="22"/>
            </w:rPr>
          </w:pPr>
          <w:r>
            <w:rPr>
              <w:sz w:val="22"/>
            </w:rPr>
            <w:t>5.0 Conclusions and Recommendations</w:t>
            <w:tab/>
          </w:r>
          <w:hyperlink w:anchor="__RefHeading___Toc502020000">
            <w:r>
              <w:rPr>
                <w:rStyle w:val="IndexLink"/>
                <w:sz w:val="22"/>
              </w:rPr>
              <w:t>15</w:t>
            </w:r>
          </w:hyperlink>
        </w:p>
        <w:p>
          <w:pPr>
            <w:pStyle w:val="TOC2"/>
            <w:tabs>
              <w:tab w:val="clear" w:pos="907"/>
              <w:tab w:val="left" w:pos="892" w:leader="none"/>
              <w:tab w:val="right" w:pos="9360" w:leader="dot"/>
            </w:tabs>
            <w:rPr>
              <w:sz w:val="22"/>
            </w:rPr>
          </w:pPr>
          <w:r>
            <w:rPr>
              <w:sz w:val="22"/>
            </w:rPr>
            <w:t>5.1</w:t>
            <w:tab/>
            <w:t>Lumberton Cogeneration Facility</w:t>
            <w:tab/>
          </w:r>
          <w:hyperlink w:anchor="__RefHeading___Toc502020001">
            <w:r>
              <w:rPr>
                <w:rStyle w:val="IndexLink"/>
                <w:sz w:val="22"/>
              </w:rPr>
              <w:t>15</w:t>
            </w:r>
          </w:hyperlink>
        </w:p>
        <w:p>
          <w:pPr>
            <w:pStyle w:val="TOC2"/>
            <w:tabs>
              <w:tab w:val="clear" w:pos="907"/>
              <w:tab w:val="left" w:pos="892" w:leader="none"/>
              <w:tab w:val="right" w:pos="9360" w:leader="dot"/>
            </w:tabs>
            <w:rPr>
              <w:sz w:val="22"/>
            </w:rPr>
          </w:pPr>
          <w:r>
            <w:rPr>
              <w:sz w:val="22"/>
            </w:rPr>
            <w:t>5.2</w:t>
            <w:tab/>
            <w:t>Elizabethtown Cogeneration Facility</w:t>
            <w:tab/>
          </w:r>
          <w:hyperlink w:anchor="__RefHeading___Toc502020002">
            <w:r>
              <w:rPr>
                <w:rStyle w:val="IndexLink"/>
                <w:sz w:val="22"/>
              </w:rPr>
              <w:t>17</w:t>
            </w:r>
          </w:hyperlink>
        </w:p>
        <w:p>
          <w:pPr>
            <w:pStyle w:val="TOC2"/>
            <w:tabs>
              <w:tab w:val="clear" w:pos="907"/>
              <w:tab w:val="left" w:pos="892" w:leader="none"/>
              <w:tab w:val="right" w:pos="9360" w:leader="dot"/>
            </w:tabs>
            <w:rPr>
              <w:sz w:val="22"/>
            </w:rPr>
          </w:pPr>
          <w:r>
            <w:rPr>
              <w:sz w:val="22"/>
            </w:rPr>
            <w:t>5.3</w:t>
            <w:tab/>
            <w:t>Railcar Unloading Site</w:t>
            <w:tab/>
          </w:r>
          <w:hyperlink w:anchor="__RefHeading___Toc502020003">
            <w:r>
              <w:rPr>
                <w:rStyle w:val="IndexLink"/>
                <w:sz w:val="22"/>
              </w:rPr>
              <w:t>18</w:t>
            </w:r>
          </w:hyperlink>
          <w:r>
            <w:rPr>
              <w:rStyle w:val="IndexLink"/>
              <w:sz w:val="22"/>
            </w:rPr>
            <w:fldChar w:fldCharType="end"/>
          </w:r>
        </w:p>
      </w:sdtContent>
    </w:sdt>
    <w:p>
      <w:pPr>
        <w:pStyle w:val="Normal"/>
        <w:rPr>
          <w:sz w:val="22"/>
        </w:rPr>
      </w:pPr>
      <w:r>
        <w:rPr>
          <w:sz w:val="22"/>
        </w:rPr>
      </w:r>
    </w:p>
    <w:p>
      <w:pPr>
        <w:sectPr>
          <w:headerReference w:type="default" r:id="rId4"/>
          <w:headerReference w:type="first" r:id="rId5"/>
          <w:footerReference w:type="default" r:id="rId6"/>
          <w:footerReference w:type="first" r:id="rId7"/>
          <w:type w:val="nextPage"/>
          <w:pgSz w:w="12240" w:h="15840"/>
          <w:pgMar w:left="1728" w:right="1152" w:gutter="0" w:header="1080" w:top="1136" w:footer="1080" w:bottom="1136"/>
          <w:pgNumType w:start="1" w:fmt="lowerRoman"/>
          <w:formProt w:val="false"/>
          <w:titlePg/>
          <w:textDirection w:val="lrTb"/>
          <w:docGrid w:type="default" w:linePitch="360" w:charSpace="0"/>
        </w:sectPr>
        <w:pStyle w:val="Normal"/>
        <w:jc w:val="start"/>
        <w:rPr>
          <w:sz w:val="22"/>
        </w:rPr>
      </w:pPr>
      <w:r>
        <w:rPr>
          <w:sz w:val="22"/>
        </w:rPr>
      </w:r>
    </w:p>
    <w:p>
      <w:pPr>
        <w:pStyle w:val="Heading"/>
        <w:rPr>
          <w:sz w:val="22"/>
        </w:rPr>
      </w:pPr>
      <w:r>
        <w:rPr>
          <w:sz w:val="22"/>
        </w:rPr>
        <w:t>LIST OF TABLES</w:t>
      </w:r>
    </w:p>
    <w:p>
      <w:pPr>
        <w:pStyle w:val="Normal"/>
        <w:numPr>
          <w:ilvl w:val="0"/>
          <w:numId w:val="6"/>
        </w:numPr>
        <w:jc w:val="start"/>
        <w:rPr>
          <w:sz w:val="22"/>
        </w:rPr>
      </w:pPr>
      <w:r>
        <w:rPr>
          <w:rFonts w:eastAsia="Arial"/>
          <w:sz w:val="22"/>
        </w:rPr>
        <w:t xml:space="preserve"> </w:t>
      </w:r>
      <w:r>
        <w:rPr>
          <w:sz w:val="22"/>
        </w:rPr>
        <w:t>Soil Sampling Results, Cogentrix Lumberton, North Carolina</w:t>
      </w:r>
    </w:p>
    <w:p>
      <w:pPr>
        <w:pStyle w:val="Normal"/>
        <w:numPr>
          <w:ilvl w:val="0"/>
          <w:numId w:val="6"/>
        </w:numPr>
        <w:jc w:val="start"/>
        <w:rPr>
          <w:sz w:val="22"/>
        </w:rPr>
      </w:pPr>
      <w:r>
        <w:rPr>
          <w:sz w:val="22"/>
        </w:rPr>
        <w:t xml:space="preserve">Soil Sampling Results, Cogentrix-Elizabethtown, North Carolina </w:t>
      </w:r>
    </w:p>
    <w:p>
      <w:pPr>
        <w:pStyle w:val="Normal"/>
        <w:numPr>
          <w:ilvl w:val="0"/>
          <w:numId w:val="6"/>
        </w:numPr>
        <w:jc w:val="start"/>
        <w:rPr>
          <w:sz w:val="22"/>
        </w:rPr>
      </w:pPr>
      <w:r>
        <w:rPr>
          <w:sz w:val="22"/>
        </w:rPr>
        <w:t>Soil and Groundwater Sampling Results, Cogentrix-Railcar Unloading Site</w:t>
      </w:r>
    </w:p>
    <w:p>
      <w:pPr>
        <w:pStyle w:val="Normal"/>
        <w:numPr>
          <w:ilvl w:val="0"/>
          <w:numId w:val="6"/>
        </w:numPr>
        <w:jc w:val="start"/>
        <w:rPr>
          <w:sz w:val="22"/>
        </w:rPr>
      </w:pPr>
      <w:r>
        <w:rPr>
          <w:sz w:val="22"/>
        </w:rPr>
        <w:t>Groundwater Sampling Results, Cogentrix-Lumberton, North Carolina</w:t>
      </w:r>
    </w:p>
    <w:p>
      <w:pPr>
        <w:pStyle w:val="Normal"/>
        <w:numPr>
          <w:ilvl w:val="0"/>
          <w:numId w:val="6"/>
        </w:numPr>
        <w:jc w:val="start"/>
        <w:rPr>
          <w:sz w:val="22"/>
        </w:rPr>
      </w:pPr>
      <w:r>
        <w:rPr>
          <w:sz w:val="22"/>
        </w:rPr>
        <w:t>Groundwater Sampling Results, Cogentrix-Elizabethtown, North Carolina</w:t>
      </w:r>
    </w:p>
    <w:p>
      <w:pPr>
        <w:sectPr>
          <w:headerReference w:type="default" r:id="rId8"/>
          <w:headerReference w:type="first" r:id="rId9"/>
          <w:footerReference w:type="default" r:id="rId10"/>
          <w:footerReference w:type="first" r:id="rId11"/>
          <w:type w:val="nextPage"/>
          <w:pgSz w:w="12240" w:h="15840"/>
          <w:pgMar w:left="1728" w:right="1152" w:gutter="0" w:header="1080" w:top="1136" w:footer="1080" w:bottom="1136"/>
          <w:pgNumType w:fmt="lowerRoman"/>
          <w:formProt w:val="false"/>
          <w:titlePg/>
          <w:textDirection w:val="lrTb"/>
          <w:docGrid w:type="default" w:linePitch="360" w:charSpace="0"/>
        </w:sectPr>
        <w:pStyle w:val="Normal"/>
        <w:jc w:val="start"/>
        <w:rPr>
          <w:sz w:val="22"/>
        </w:rPr>
      </w:pPr>
      <w:r>
        <w:rPr>
          <w:sz w:val="22"/>
        </w:rPr>
      </w:r>
    </w:p>
    <w:p>
      <w:pPr>
        <w:pStyle w:val="Heading"/>
        <w:rPr>
          <w:sz w:val="22"/>
        </w:rPr>
      </w:pPr>
      <w:r>
        <w:rPr>
          <w:sz w:val="22"/>
        </w:rPr>
        <w:t>LIST OF FIGURES</w:t>
      </w:r>
    </w:p>
    <w:p>
      <w:pPr>
        <w:pStyle w:val="TOAHeading"/>
        <w:numPr>
          <w:ilvl w:val="0"/>
          <w:numId w:val="2"/>
        </w:numPr>
        <w:tabs>
          <w:tab w:val="clear" w:pos="9360"/>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 w:val="left" w:pos="9072" w:leader="none"/>
        </w:tabs>
        <w:rPr>
          <w:sz w:val="22"/>
        </w:rPr>
      </w:pPr>
      <w:r>
        <w:rPr>
          <w:sz w:val="22"/>
        </w:rPr>
        <w:t xml:space="preserve">Well and Boring Location Plan, Cogentrix –  Lumberton, North Carolina </w:t>
      </w:r>
    </w:p>
    <w:p>
      <w:pPr>
        <w:pStyle w:val="Normal"/>
        <w:numPr>
          <w:ilvl w:val="0"/>
          <w:numId w:val="2"/>
        </w:numPr>
        <w:rPr>
          <w:sz w:val="22"/>
        </w:rPr>
      </w:pPr>
      <w:r>
        <w:rPr>
          <w:sz w:val="22"/>
        </w:rPr>
        <w:t>Well and Boring Location Plan, Cogentrix – Elizabethtown, North Carolina</w:t>
      </w:r>
    </w:p>
    <w:p>
      <w:pPr>
        <w:pStyle w:val="Normal"/>
        <w:numPr>
          <w:ilvl w:val="0"/>
          <w:numId w:val="2"/>
        </w:numPr>
        <w:rPr>
          <w:sz w:val="22"/>
        </w:rPr>
      </w:pPr>
      <w:r>
        <w:rPr>
          <w:sz w:val="22"/>
        </w:rPr>
        <w:t>Boring Location Plan, Cogentrix – Railcar Unloading Site, Lumberton, North Carolina</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LIST OF APPENDICES</w:t>
      </w:r>
    </w:p>
    <w:p>
      <w:pPr>
        <w:pStyle w:val="Normal"/>
        <w:numPr>
          <w:ilvl w:val="0"/>
          <w:numId w:val="5"/>
        </w:numPr>
        <w:rPr>
          <w:sz w:val="22"/>
        </w:rPr>
      </w:pPr>
      <w:r>
        <w:rPr>
          <w:sz w:val="22"/>
        </w:rPr>
        <w:t>Well Construction and Lithologic Logs</w:t>
      </w:r>
    </w:p>
    <w:p>
      <w:pPr>
        <w:pStyle w:val="Normal"/>
        <w:numPr>
          <w:ilvl w:val="0"/>
          <w:numId w:val="5"/>
        </w:numPr>
        <w:rPr>
          <w:sz w:val="22"/>
        </w:rPr>
      </w:pPr>
      <w:r>
        <w:rPr>
          <w:sz w:val="22"/>
        </w:rPr>
        <w:t>Groundwater Sample Collection Records</w:t>
      </w:r>
    </w:p>
    <w:p>
      <w:pPr>
        <w:pStyle w:val="Normal"/>
        <w:numPr>
          <w:ilvl w:val="0"/>
          <w:numId w:val="5"/>
        </w:numPr>
        <w:rPr>
          <w:sz w:val="22"/>
        </w:rPr>
      </w:pPr>
      <w:r>
        <w:rPr>
          <w:sz w:val="22"/>
        </w:rPr>
        <w:t>Laboratory Reports</w:t>
      </w:r>
    </w:p>
    <w:p>
      <w:pPr>
        <w:pStyle w:val="Normal"/>
        <w:numPr>
          <w:ilvl w:val="0"/>
          <w:numId w:val="5"/>
        </w:numPr>
        <w:rPr>
          <w:sz w:val="22"/>
        </w:rPr>
      </w:pPr>
      <w:r>
        <w:rPr>
          <w:sz w:val="22"/>
        </w:rPr>
        <w:t>Data Validation Report</w:t>
      </w:r>
    </w:p>
    <w:p>
      <w:pPr>
        <w:pStyle w:val="Normal"/>
        <w:spacing w:before="0" w:after="320"/>
        <w:rPr>
          <w:sz w:val="22"/>
        </w:rPr>
      </w:pPr>
      <w:r>
        <w:rPr>
          <w:sz w:val="22"/>
        </w:rPr>
      </w:r>
    </w:p>
    <w:sectPr>
      <w:headerReference w:type="default" r:id="rId12"/>
      <w:headerReference w:type="first" r:id="rId13"/>
      <w:footerReference w:type="default" r:id="rId14"/>
      <w:footerReference w:type="first" r:id="rId15"/>
      <w:type w:val="nextPage"/>
      <w:pgSz w:w="12240" w:h="15840"/>
      <w:pgMar w:left="1728" w:right="1152" w:gutter="0" w:header="1080" w:top="1136" w:footer="1080" w:bottom="1136"/>
      <w:pgNumType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0"/>
      <w:rPr>
        <w:sz w:val="10"/>
      </w:rPr>
    </w:pPr>
    <w:r>
      <w:rPr>
        <w:sz w:val="10"/>
      </w:rPr>
    </w:r>
  </w:p>
  <w:p>
    <w:pPr>
      <w:pStyle w:val="Normal"/>
      <w:spacing w:before="0" w:after="0"/>
      <w:ind w:end="360"/>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04">
              <wp:simplePos x="0" y="0"/>
              <wp:positionH relativeFrom="margin">
                <wp:posOffset>0</wp:posOffset>
              </wp:positionH>
              <wp:positionV relativeFrom="page">
                <wp:posOffset>9043670</wp:posOffset>
              </wp:positionV>
              <wp:extent cx="5943600" cy="12065"/>
              <wp:effectExtent l="0" t="635" r="0" b="0"/>
              <wp:wrapNone/>
              <wp:docPr id="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12.1pt;width:467.95pt;height:0.9pt;mso-wrap-style:none;v-text-anchor:middle;mso-position-horizontal-relative:margin;mso-position-vertical-relative:page">
              <v:fill o:detectmouseclick="t" type="solid" color2="white"/>
              <v:stroke color="#3465a4" joinstyle="round" endcap="flat"/>
              <w10:wrap type="none"/>
            </v:rect>
          </w:pict>
        </mc:Fallback>
      </mc:AlternateContent>
    </w:r>
    <w:r>
      <mc:AlternateContent>
        <mc:Choice Requires="wps">
          <w:drawing>
            <wp:anchor behindDoc="0" distT="0" distB="0" distL="0" distR="0" simplePos="0" locked="0" layoutInCell="0" allowOverlap="1" relativeHeight="22">
              <wp:simplePos x="0" y="0"/>
              <wp:positionH relativeFrom="page">
                <wp:posOffset>4039235</wp:posOffset>
              </wp:positionH>
              <wp:positionV relativeFrom="paragraph">
                <wp:posOffset>136525</wp:posOffset>
              </wp:positionV>
              <wp:extent cx="148590" cy="153670"/>
              <wp:effectExtent l="0" t="0" r="0" b="0"/>
              <wp:wrapSquare wrapText="bothSides"/>
              <wp:docPr id="6" name="Frame3"/>
              <a:graphic xmlns:a="http://schemas.openxmlformats.org/drawingml/2006/main">
                <a:graphicData uri="http://schemas.microsoft.com/office/word/2010/wordprocessingShape">
                  <wps:wsp>
                    <wps:cNvSpPr txBox="1"/>
                    <wps:spPr>
                      <a:xfrm>
                        <a:off x="0" y="0"/>
                        <a:ext cx="148590" cy="153670"/>
                      </a:xfrm>
                      <a:prstGeom prst="rect"/>
                      <a:solidFill>
                        <a:srgbClr val="FFFFFF">
                          <a:alpha val="0"/>
                        </a:srgbClr>
                      </a:solidFill>
                    </wps:spPr>
                    <wps:txbx>
                      <w:txbxContent>
                        <w:p>
                          <w:pPr>
                            <w:pStyle w:val="Footer"/>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7pt;height:12.1pt;mso-wrap-distance-left:0pt;mso-wrap-distance-right:0pt;mso-wrap-distance-top:0pt;mso-wrap-distance-bottom:0pt;margin-top:10.75pt;mso-position-vertical-relative:text;margin-left:318.05pt;mso-position-horizontal-relative:page">
              <v:fill opacity="0f"/>
              <v:textbox inset="0in,0in,0in,0in">
                <w:txbxContent>
                  <w:p>
                    <w:pPr>
                      <w:pStyle w:val="Footer"/>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Normal"/>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none"/>
      </w:tabs>
      <w:spacing w:before="0" w:after="0"/>
      <w:rPr/>
    </w:pPr>
    <w:r>
      <w:rPr>
        <w:spacing w:val="-1"/>
        <w:sz w:val="22"/>
      </w:rPr>
      <w:fldChar w:fldCharType="begin"/>
    </w:r>
    <w:r>
      <w:rPr>
        <w:sz w:val="22"/>
        <w:spacing w:val="-1"/>
      </w:rPr>
      <w:instrText xml:space="preserve"> FILENAME </w:instrText>
    </w:r>
    <w:r>
      <w:rPr>
        <w:sz w:val="22"/>
        <w:spacing w:val="-1"/>
      </w:rPr>
      <w:fldChar w:fldCharType="separate"/>
    </w:r>
    <w:r>
      <w:rPr>
        <w:sz w:val="22"/>
        <w:spacing w:val="-1"/>
      </w:rPr>
      <w:t>Phase_II_LSA_Draft_Report.doc</w:t>
    </w:r>
    <w:r>
      <w:rPr>
        <w:sz w:val="22"/>
        <w:spacing w:val="-1"/>
      </w:rPr>
      <w:fldChar w:fldCharType="end"/>
    </w:r>
    <w:r>
      <w:rPr>
        <w:spacing w:val="-1"/>
        <w:sz w:val="22"/>
      </w:rPr>
      <w:tab/>
    </w:r>
    <w:r>
      <w:rPr>
        <w:spacing w:val="-1"/>
        <w:sz w:val="22"/>
      </w:rPr>
      <w:fldChar w:fldCharType="begin"/>
    </w:r>
    <w:r>
      <w:rPr>
        <w:sz w:val="22"/>
        <w:spacing w:val="-1"/>
      </w:rPr>
      <w:instrText xml:space="preserve"> SAVEDATE \@"MMMM', 'yyyy" </w:instrText>
    </w:r>
    <w:r>
      <w:rPr>
        <w:sz w:val="22"/>
        <w:spacing w:val="-1"/>
      </w:rPr>
      <w:fldChar w:fldCharType="separate"/>
    </w:r>
    <w:r>
      <w:rPr>
        <w:sz w:val="22"/>
        <w:spacing w:val="-1"/>
      </w:rPr>
      <w:t>December, 2000</w:t>
    </w:r>
    <w:r>
      <w:rPr>
        <w:sz w:val="22"/>
        <w:spacing w:val="-1"/>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0"/>
      <w:rPr>
        <w:sz w:val="10"/>
      </w:rPr>
    </w:pPr>
    <w:r>
      <w:rPr>
        <w:sz w:val="10"/>
      </w:rPr>
    </w:r>
  </w:p>
  <w:p>
    <w:pPr>
      <w:pStyle w:val="Normal"/>
      <w:spacing w:before="0" w:after="0"/>
      <w:ind w:end="360"/>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16">
              <wp:simplePos x="0" y="0"/>
              <wp:positionH relativeFrom="margin">
                <wp:posOffset>0</wp:posOffset>
              </wp:positionH>
              <wp:positionV relativeFrom="page">
                <wp:posOffset>9043670</wp:posOffset>
              </wp:positionV>
              <wp:extent cx="5943600" cy="12065"/>
              <wp:effectExtent l="0" t="635" r="0" b="0"/>
              <wp:wrapNone/>
              <wp:docPr id="1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12.1pt;width:467.95pt;height:0.9pt;mso-wrap-style:none;v-text-anchor:middle;mso-position-horizontal-relative:margin;mso-position-vertical-relative:page">
              <v:fill o:detectmouseclick="t" type="solid" color2="white"/>
              <v:stroke color="#3465a4" joinstyle="round" endcap="flat"/>
              <w10:wrap type="none"/>
            </v:rect>
          </w:pict>
        </mc:Fallback>
      </mc:AlternateContent>
    </w:r>
    <w:r>
      <mc:AlternateContent>
        <mc:Choice Requires="wps">
          <w:drawing>
            <wp:anchor behindDoc="0" distT="0" distB="0" distL="0" distR="0" simplePos="0" locked="0" layoutInCell="0" allowOverlap="1" relativeHeight="50">
              <wp:simplePos x="0" y="0"/>
              <wp:positionH relativeFrom="page">
                <wp:posOffset>4039235</wp:posOffset>
              </wp:positionH>
              <wp:positionV relativeFrom="paragraph">
                <wp:posOffset>136525</wp:posOffset>
              </wp:positionV>
              <wp:extent cx="59690" cy="153670"/>
              <wp:effectExtent l="0" t="0" r="0" b="0"/>
              <wp:wrapSquare wrapText="bothSides"/>
              <wp:docPr id="16" name="Frame7"/>
              <a:graphic xmlns:a="http://schemas.openxmlformats.org/drawingml/2006/main">
                <a:graphicData uri="http://schemas.microsoft.com/office/word/2010/wordprocessingShape">
                  <wps:wsp>
                    <wps:cNvSpPr txBox="1"/>
                    <wps:spPr>
                      <a:xfrm>
                        <a:off x="0" y="0"/>
                        <a:ext cx="59690" cy="153670"/>
                      </a:xfrm>
                      <a:prstGeom prst="rect"/>
                      <a:solidFill>
                        <a:srgbClr val="FFFFFF">
                          <a:alpha val="0"/>
                        </a:srgbClr>
                      </a:solidFill>
                    </wps:spPr>
                    <wps:txbx>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7pt;height:12.1pt;mso-wrap-distance-left:0pt;mso-wrap-distance-right:0pt;mso-wrap-distance-top:0pt;mso-wrap-distance-bottom:0pt;margin-top:10.75pt;mso-position-vertical-relative:text;margin-left:318.05pt;mso-position-horizontal-relative:page">
              <v:fill opacity="0f"/>
              <v:textbox inset="0in,0in,0in,0in">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p>
    <w:pPr>
      <w:pStyle w:val="Normal"/>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none"/>
      </w:tabs>
      <w:spacing w:before="0" w:after="0"/>
      <w:rPr/>
    </w:pPr>
    <w:r>
      <w:rPr>
        <w:spacing w:val="-1"/>
        <w:sz w:val="22"/>
      </w:rPr>
      <w:fldChar w:fldCharType="begin"/>
    </w:r>
    <w:r>
      <w:rPr>
        <w:sz w:val="22"/>
        <w:spacing w:val="-1"/>
      </w:rPr>
      <w:instrText xml:space="preserve"> FILENAME </w:instrText>
    </w:r>
    <w:r>
      <w:rPr>
        <w:sz w:val="22"/>
        <w:spacing w:val="-1"/>
      </w:rPr>
      <w:fldChar w:fldCharType="separate"/>
    </w:r>
    <w:r>
      <w:rPr>
        <w:sz w:val="22"/>
        <w:spacing w:val="-1"/>
      </w:rPr>
      <w:t>Phase_II_LSA_Draft_Report.doc</w:t>
    </w:r>
    <w:r>
      <w:rPr>
        <w:sz w:val="22"/>
        <w:spacing w:val="-1"/>
      </w:rPr>
      <w:fldChar w:fldCharType="end"/>
    </w:r>
    <w:r>
      <w:rPr>
        <w:spacing w:val="-1"/>
        <w:sz w:val="22"/>
      </w:rPr>
      <w:tab/>
    </w:r>
    <w:r>
      <w:rPr>
        <w:spacing w:val="-1"/>
        <w:sz w:val="22"/>
      </w:rPr>
      <w:fldChar w:fldCharType="begin"/>
    </w:r>
    <w:r>
      <w:rPr>
        <w:sz w:val="22"/>
        <w:spacing w:val="-1"/>
      </w:rPr>
      <w:instrText xml:space="preserve"> SAVEDATE \@"MMMM', 'yyyy" </w:instrText>
    </w:r>
    <w:r>
      <w:rPr>
        <w:sz w:val="22"/>
        <w:spacing w:val="-1"/>
      </w:rPr>
      <w:fldChar w:fldCharType="separate"/>
    </w:r>
    <w:r>
      <w:rPr>
        <w:sz w:val="22"/>
        <w:spacing w:val="-1"/>
      </w:rPr>
      <w:t>December, 2000</w:t>
    </w:r>
    <w:r>
      <w:rPr>
        <w:sz w:val="22"/>
        <w:spacing w:val="-1"/>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0"/>
      <w:rPr>
        <w:sz w:val="10"/>
      </w:rPr>
    </w:pPr>
    <w:r>
      <w:rPr>
        <w:sz w:val="10"/>
      </w:rPr>
    </w:r>
  </w:p>
  <w:p>
    <w:pPr>
      <w:pStyle w:val="Normal"/>
      <w:spacing w:before="0" w:after="0"/>
      <w:ind w:end="360"/>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08">
              <wp:simplePos x="0" y="0"/>
              <wp:positionH relativeFrom="margin">
                <wp:posOffset>0</wp:posOffset>
              </wp:positionH>
              <wp:positionV relativeFrom="page">
                <wp:posOffset>9043670</wp:posOffset>
              </wp:positionV>
              <wp:extent cx="5943600" cy="12065"/>
              <wp:effectExtent l="0" t="635" r="0" b="0"/>
              <wp:wrapNone/>
              <wp:docPr id="17"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12.1pt;width:467.95pt;height:0.9pt;mso-wrap-style:none;v-text-anchor:middle;mso-position-horizontal-relative:margin;mso-position-vertical-relative:page">
              <v:fill o:detectmouseclick="t" type="solid" color2="white"/>
              <v:stroke color="#3465a4" joinstyle="round" endcap="flat"/>
              <w10:wrap type="none"/>
            </v:rect>
          </w:pict>
        </mc:Fallback>
      </mc:AlternateContent>
    </w:r>
    <w:r>
      <mc:AlternateContent>
        <mc:Choice Requires="wps">
          <w:drawing>
            <wp:anchor behindDoc="0" distT="0" distB="0" distL="0" distR="0" simplePos="0" locked="0" layoutInCell="0" allowOverlap="1" relativeHeight="62">
              <wp:simplePos x="0" y="0"/>
              <wp:positionH relativeFrom="page">
                <wp:posOffset>4039235</wp:posOffset>
              </wp:positionH>
              <wp:positionV relativeFrom="paragraph">
                <wp:posOffset>146050</wp:posOffset>
              </wp:positionV>
              <wp:extent cx="31115" cy="153670"/>
              <wp:effectExtent l="0" t="0" r="0" b="0"/>
              <wp:wrapSquare wrapText="bothSides"/>
              <wp:docPr id="18" name="Frame5"/>
              <a:graphic xmlns:a="http://schemas.openxmlformats.org/drawingml/2006/main">
                <a:graphicData uri="http://schemas.microsoft.com/office/word/2010/wordprocessingShape">
                  <wps:wsp>
                    <wps:cNvSpPr txBox="1"/>
                    <wps:spPr>
                      <a:xfrm>
                        <a:off x="0" y="0"/>
                        <a:ext cx="31115" cy="153670"/>
                      </a:xfrm>
                      <a:prstGeom prst="rect"/>
                      <a:solidFill>
                        <a:srgbClr val="FFFFFF">
                          <a:alpha val="0"/>
                        </a:srgbClr>
                      </a:solidFill>
                    </wps:spPr>
                    <wps:txbx>
                      <w:txbxContent>
                        <w:p>
                          <w:pPr>
                            <w:pStyle w:val="Footer"/>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5pt;height:12.1pt;mso-wrap-distance-left:0pt;mso-wrap-distance-right:0pt;mso-wrap-distance-top:0pt;mso-wrap-distance-bottom:0pt;margin-top:11.5pt;mso-position-vertical-relative:text;margin-left:318.05pt;mso-position-horizontal-relative:page">
              <v:fill opacity="0f"/>
              <v:textbox inset="0in,0in,0in,0in">
                <w:txbxContent>
                  <w:p>
                    <w:pPr>
                      <w:pStyle w:val="Footer"/>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Normal"/>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none"/>
      </w:tabs>
      <w:spacing w:before="0" w:after="0"/>
      <w:rPr/>
    </w:pPr>
    <w:r>
      <w:rPr>
        <w:spacing w:val="-1"/>
        <w:sz w:val="11"/>
      </w:rPr>
      <w:fldChar w:fldCharType="begin"/>
    </w:r>
    <w:r>
      <w:rPr>
        <w:sz w:val="11"/>
        <w:spacing w:val="-1"/>
      </w:rPr>
      <w:instrText xml:space="preserve"> FILENAME \p </w:instrText>
    </w:r>
    <w:r>
      <w:rPr>
        <w:sz w:val="11"/>
        <w:spacing w:val="-1"/>
      </w:rPr>
      <w:fldChar w:fldCharType="separate"/>
    </w:r>
    <w:r>
      <w:rPr>
        <w:sz w:val="11"/>
        <w:spacing w:val="-1"/>
      </w:rPr>
      <w:t>/mnt/main-storage/datasets/enron-docs/doc/Phase_II_LSA_Draft_Report.doc</w:t>
    </w:r>
    <w:r>
      <w:rPr>
        <w:sz w:val="11"/>
        <w:spacing w:val="-1"/>
      </w:rPr>
      <w:fldChar w:fldCharType="end"/>
    </w:r>
    <w:r>
      <w:rPr>
        <w:spacing w:val="-1"/>
        <w:sz w:val="13"/>
      </w:rPr>
      <w:tab/>
    </w:r>
    <w:r>
      <w:rPr>
        <w:spacing w:val="-1"/>
        <w:sz w:val="13"/>
      </w:rPr>
      <w:fldChar w:fldCharType="begin"/>
    </w:r>
    <w:r>
      <w:rPr>
        <w:sz w:val="13"/>
        <w:spacing w:val="-1"/>
      </w:rPr>
      <w:instrText xml:space="preserve"> SAVEDATE \@"MMMM', 'yyyy" </w:instrText>
    </w:r>
    <w:r>
      <w:rPr>
        <w:sz w:val="13"/>
        <w:spacing w:val="-1"/>
      </w:rPr>
      <w:fldChar w:fldCharType="separate"/>
    </w:r>
    <w:r>
      <w:rPr>
        <w:sz w:val="13"/>
        <w:spacing w:val="-1"/>
      </w:rPr>
      <w:t>December, 2000</w:t>
    </w:r>
    <w:r>
      <w:rPr>
        <w:sz w:val="13"/>
        <w:spacing w:val="-1"/>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0"/>
      <w:rPr>
        <w:sz w:val="10"/>
      </w:rPr>
    </w:pPr>
    <w:r>
      <w:rPr>
        <w:sz w:val="10"/>
      </w:rPr>
    </w:r>
  </w:p>
  <w:p>
    <w:pPr>
      <w:pStyle w:val="Normal"/>
      <w:spacing w:before="0" w:after="0"/>
      <w:ind w:end="360"/>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19">
              <wp:simplePos x="0" y="0"/>
              <wp:positionH relativeFrom="margin">
                <wp:posOffset>0</wp:posOffset>
              </wp:positionH>
              <wp:positionV relativeFrom="page">
                <wp:posOffset>9043670</wp:posOffset>
              </wp:positionV>
              <wp:extent cx="5943600" cy="12065"/>
              <wp:effectExtent l="0" t="635" r="0" b="0"/>
              <wp:wrapNone/>
              <wp:docPr id="27"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12.1pt;width:467.95pt;height:0.9pt;mso-wrap-style:none;v-text-anchor:middle;mso-position-horizontal-relative:margin;mso-position-vertical-relative:page">
              <v:fill o:detectmouseclick="t" type="solid" color2="white"/>
              <v:stroke color="#3465a4" joinstyle="round" endcap="flat"/>
              <w10:wrap type="none"/>
            </v:rect>
          </w:pict>
        </mc:Fallback>
      </mc:AlternateContent>
    </w:r>
    <w:r>
      <mc:AlternateContent>
        <mc:Choice Requires="wps">
          <w:drawing>
            <wp:anchor behindDoc="0" distT="0" distB="0" distL="0" distR="0" simplePos="0" locked="0" layoutInCell="1" allowOverlap="1" relativeHeight="0">
              <wp:simplePos x="0" y="0"/>
              <wp:positionH relativeFrom="page">
                <wp:posOffset>4039235</wp:posOffset>
              </wp:positionH>
              <wp:positionV relativeFrom="paragraph">
                <wp:posOffset>136525</wp:posOffset>
              </wp:positionV>
              <wp:extent cx="86360" cy="20955"/>
              <wp:effectExtent l="0" t="0" r="0" b="0"/>
              <wp:wrapSquare wrapText="bothSides"/>
              <wp:docPr id="28" name="Frame11"/>
              <a:graphic xmlns:a="http://schemas.openxmlformats.org/drawingml/2006/main">
                <a:graphicData uri="http://schemas.microsoft.com/office/word/2010/wordprocessingShape">
                  <wps:wsp>
                    <wps:cNvSpPr txBox="1"/>
                    <wps:spPr>
                      <a:xfrm>
                        <a:off x="0" y="0"/>
                        <a:ext cx="86360" cy="20955"/>
                      </a:xfrm>
                      <a:prstGeom prst="rect"/>
                      <a:solidFill>
                        <a:srgbClr val="FFFFFF">
                          <a:alpha val="0"/>
                        </a:srgbClr>
                      </a:solidFill>
                    </wps:spPr>
                    <wps:txbx>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8pt;height:1.65pt;mso-wrap-distance-left:0pt;mso-wrap-distance-right:0pt;mso-wrap-distance-top:0pt;mso-wrap-distance-bottom:0pt;margin-top:10.75pt;mso-position-vertical-relative:text;margin-left:318.05pt;mso-position-horizontal-relative:page">
              <v:fill opacity="0f"/>
              <v:textbox inset="0in,0in,0in,0in">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p>
    <w:pPr>
      <w:pStyle w:val="Normal"/>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none"/>
      </w:tabs>
      <w:spacing w:before="0" w:after="0"/>
      <w:rPr/>
    </w:pPr>
    <w:r>
      <w:rPr>
        <w:spacing w:val="-1"/>
        <w:sz w:val="22"/>
      </w:rPr>
      <w:fldChar w:fldCharType="begin"/>
    </w:r>
    <w:r>
      <w:rPr>
        <w:sz w:val="22"/>
        <w:spacing w:val="-1"/>
      </w:rPr>
      <w:instrText xml:space="preserve"> FILENAME </w:instrText>
    </w:r>
    <w:r>
      <w:rPr>
        <w:sz w:val="22"/>
        <w:spacing w:val="-1"/>
      </w:rPr>
      <w:fldChar w:fldCharType="separate"/>
    </w:r>
    <w:r>
      <w:rPr>
        <w:sz w:val="22"/>
        <w:spacing w:val="-1"/>
      </w:rPr>
      <w:t>Phase_II_LSA_Draft_Report.doc</w:t>
    </w:r>
    <w:r>
      <w:rPr>
        <w:sz w:val="22"/>
        <w:spacing w:val="-1"/>
      </w:rPr>
      <w:fldChar w:fldCharType="end"/>
    </w:r>
    <w:r>
      <w:rPr>
        <w:spacing w:val="-1"/>
        <w:sz w:val="22"/>
      </w:rPr>
      <w:tab/>
    </w:r>
    <w:r>
      <w:rPr>
        <w:spacing w:val="-1"/>
        <w:sz w:val="22"/>
      </w:rPr>
      <w:fldChar w:fldCharType="begin"/>
    </w:r>
    <w:r>
      <w:rPr>
        <w:sz w:val="22"/>
        <w:spacing w:val="-1"/>
      </w:rPr>
      <w:instrText xml:space="preserve"> SAVEDATE \@"MMMM', 'yyyy" </w:instrText>
    </w:r>
    <w:r>
      <w:rPr>
        <w:sz w:val="22"/>
        <w:spacing w:val="-1"/>
      </w:rPr>
      <w:fldChar w:fldCharType="separate"/>
    </w:r>
    <w:r>
      <w:rPr>
        <w:sz w:val="22"/>
        <w:spacing w:val="-1"/>
      </w:rPr>
      <w:t>December, 2000</w:t>
    </w:r>
    <w:r>
      <w:rPr>
        <w:sz w:val="22"/>
        <w:spacing w:val="-1"/>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0"/>
      <w:rPr>
        <w:sz w:val="10"/>
      </w:rPr>
    </w:pPr>
    <w:r>
      <w:rPr>
        <w:sz w:val="10"/>
      </w:rPr>
    </w:r>
  </w:p>
  <w:p>
    <w:pPr>
      <w:pStyle w:val="Normal"/>
      <w:spacing w:before="0" w:after="0"/>
      <w:ind w:end="360"/>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18">
              <wp:simplePos x="0" y="0"/>
              <wp:positionH relativeFrom="margin">
                <wp:posOffset>0</wp:posOffset>
              </wp:positionH>
              <wp:positionV relativeFrom="page">
                <wp:posOffset>9043670</wp:posOffset>
              </wp:positionV>
              <wp:extent cx="5943600" cy="12065"/>
              <wp:effectExtent l="0" t="635" r="0" b="0"/>
              <wp:wrapNone/>
              <wp:docPr id="2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12.1pt;width:467.95pt;height:0.9pt;mso-wrap-style:none;v-text-anchor:middle;mso-position-horizontal-relative:margin;mso-position-vertical-relative:page">
              <v:fill o:detectmouseclick="t" type="solid" color2="white"/>
              <v:stroke color="#3465a4" joinstyle="round" endcap="flat"/>
              <w10:wrap type="none"/>
            </v:rect>
          </w:pict>
        </mc:Fallback>
      </mc:AlternateContent>
    </w:r>
    <w:r>
      <mc:AlternateContent>
        <mc:Choice Requires="wps">
          <w:drawing>
            <wp:anchor behindDoc="0" distT="0" distB="0" distL="0" distR="0" simplePos="0" locked="0" layoutInCell="0" allowOverlap="1" relativeHeight="117">
              <wp:simplePos x="0" y="0"/>
              <wp:positionH relativeFrom="page">
                <wp:posOffset>4039235</wp:posOffset>
              </wp:positionH>
              <wp:positionV relativeFrom="paragraph">
                <wp:posOffset>146050</wp:posOffset>
              </wp:positionV>
              <wp:extent cx="87630" cy="153670"/>
              <wp:effectExtent l="0" t="0" r="0" b="0"/>
              <wp:wrapSquare wrapText="bothSides"/>
              <wp:docPr id="30" name="Frame9"/>
              <a:graphic xmlns:a="http://schemas.openxmlformats.org/drawingml/2006/main">
                <a:graphicData uri="http://schemas.microsoft.com/office/word/2010/wordprocessingShape">
                  <wps:wsp>
                    <wps:cNvSpPr txBox="1"/>
                    <wps:spPr>
                      <a:xfrm>
                        <a:off x="0" y="0"/>
                        <a:ext cx="87630" cy="153670"/>
                      </a:xfrm>
                      <a:prstGeom prst="rect"/>
                      <a:solidFill>
                        <a:srgbClr val="FFFFFF">
                          <a:alpha val="0"/>
                        </a:srgbClr>
                      </a:solidFill>
                    </wps:spPr>
                    <wps:txbx>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9pt;height:12.1pt;mso-wrap-distance-left:0pt;mso-wrap-distance-right:0pt;mso-wrap-distance-top:0pt;mso-wrap-distance-bottom:0pt;margin-top:11.5pt;mso-position-vertical-relative:text;margin-left:318.05pt;mso-position-horizontal-relative:page">
              <v:fill opacity="0f"/>
              <v:textbox inset="0in,0in,0in,0in">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Normal"/>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none"/>
      </w:tabs>
      <w:spacing w:before="0" w:after="0"/>
      <w:rPr/>
    </w:pPr>
    <w:r>
      <w:rPr>
        <w:spacing w:val="-1"/>
        <w:sz w:val="11"/>
      </w:rPr>
      <w:fldChar w:fldCharType="begin"/>
    </w:r>
    <w:r>
      <w:rPr>
        <w:sz w:val="11"/>
        <w:spacing w:val="-1"/>
      </w:rPr>
      <w:instrText xml:space="preserve"> FILENAME \p </w:instrText>
    </w:r>
    <w:r>
      <w:rPr>
        <w:sz w:val="11"/>
        <w:spacing w:val="-1"/>
      </w:rPr>
      <w:fldChar w:fldCharType="separate"/>
    </w:r>
    <w:r>
      <w:rPr>
        <w:sz w:val="11"/>
        <w:spacing w:val="-1"/>
      </w:rPr>
      <w:t>/mnt/main-storage/datasets/enron-docs/doc/Phase_II_LSA_Draft_Report.doc</w:t>
    </w:r>
    <w:r>
      <w:rPr>
        <w:sz w:val="11"/>
        <w:spacing w:val="-1"/>
      </w:rPr>
      <w:fldChar w:fldCharType="end"/>
    </w:r>
    <w:r>
      <w:rPr>
        <w:spacing w:val="-1"/>
        <w:sz w:val="13"/>
      </w:rPr>
      <w:tab/>
    </w:r>
    <w:r>
      <w:rPr>
        <w:spacing w:val="-1"/>
        <w:sz w:val="13"/>
      </w:rPr>
      <w:fldChar w:fldCharType="begin"/>
    </w:r>
    <w:r>
      <w:rPr>
        <w:sz w:val="13"/>
        <w:spacing w:val="-1"/>
      </w:rPr>
      <w:instrText xml:space="preserve"> SAVEDATE \@"MMMM', 'yyyy" </w:instrText>
    </w:r>
    <w:r>
      <w:rPr>
        <w:sz w:val="13"/>
        <w:spacing w:val="-1"/>
      </w:rPr>
      <w:fldChar w:fldCharType="separate"/>
    </w:r>
    <w:r>
      <w:rPr>
        <w:sz w:val="13"/>
        <w:spacing w:val="-1"/>
      </w:rPr>
      <w:t>December, 2000</w:t>
    </w:r>
    <w:r>
      <w:rPr>
        <w:sz w:val="13"/>
        <w:spacing w:val="-1"/>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0"/>
      <w:rPr>
        <w:sz w:val="10"/>
      </w:rPr>
    </w:pPr>
    <w:r>
      <w:rPr>
        <w:sz w:val="10"/>
      </w:rPr>
    </w:r>
  </w:p>
  <w:p>
    <w:pPr>
      <w:pStyle w:val="Normal"/>
      <w:spacing w:before="0" w:after="0"/>
      <w:ind w:end="360"/>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11">
              <wp:simplePos x="0" y="0"/>
              <wp:positionH relativeFrom="margin">
                <wp:posOffset>0</wp:posOffset>
              </wp:positionH>
              <wp:positionV relativeFrom="page">
                <wp:posOffset>9043670</wp:posOffset>
              </wp:positionV>
              <wp:extent cx="5943600" cy="12065"/>
              <wp:effectExtent l="0" t="635" r="0" b="0"/>
              <wp:wrapNone/>
              <wp:docPr id="40"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12.1pt;width:467.95pt;height:0.9pt;mso-wrap-style:none;v-text-anchor:middle;mso-position-horizontal-relative:margin;mso-position-vertical-relative:page">
              <v:fill o:detectmouseclick="t" type="solid" color2="white"/>
              <v:stroke color="#3465a4" joinstyle="round" endcap="flat"/>
              <w10:wrap type="none"/>
            </v:rect>
          </w:pict>
        </mc:Fallback>
      </mc:AlternateContent>
    </w:r>
    <w:r>
      <mc:AlternateContent>
        <mc:Choice Requires="wps">
          <w:drawing>
            <wp:anchor behindDoc="0" distT="0" distB="0" distL="0" distR="0" simplePos="0" locked="0" layoutInCell="1" allowOverlap="1" relativeHeight="0">
              <wp:simplePos x="0" y="0"/>
              <wp:positionH relativeFrom="page">
                <wp:posOffset>4039235</wp:posOffset>
              </wp:positionH>
              <wp:positionV relativeFrom="paragraph">
                <wp:posOffset>136525</wp:posOffset>
              </wp:positionV>
              <wp:extent cx="86360" cy="20955"/>
              <wp:effectExtent l="0" t="0" r="0" b="0"/>
              <wp:wrapSquare wrapText="bothSides"/>
              <wp:docPr id="41" name="Frame15"/>
              <a:graphic xmlns:a="http://schemas.openxmlformats.org/drawingml/2006/main">
                <a:graphicData uri="http://schemas.microsoft.com/office/word/2010/wordprocessingShape">
                  <wps:wsp>
                    <wps:cNvSpPr txBox="1"/>
                    <wps:spPr>
                      <a:xfrm>
                        <a:off x="0" y="0"/>
                        <a:ext cx="86360" cy="20955"/>
                      </a:xfrm>
                      <a:prstGeom prst="rect"/>
                      <a:solidFill>
                        <a:srgbClr val="FFFFFF">
                          <a:alpha val="0"/>
                        </a:srgbClr>
                      </a:solidFill>
                    </wps:spPr>
                    <wps:txbx>
                      <w:txbxContent>
                        <w:p>
                          <w:pPr>
                            <w:pStyle w:val="Footer"/>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8pt;height:1.65pt;mso-wrap-distance-left:0pt;mso-wrap-distance-right:0pt;mso-wrap-distance-top:0pt;mso-wrap-distance-bottom:0pt;margin-top:10.75pt;mso-position-vertical-relative:text;margin-left:318.05pt;mso-position-horizontal-relative:page">
              <v:fill opacity="0f"/>
              <v:textbox inset="0in,0in,0in,0in">
                <w:txbxContent>
                  <w:p>
                    <w:pPr>
                      <w:pStyle w:val="Footer"/>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p>
    <w:pPr>
      <w:pStyle w:val="Normal"/>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none"/>
      </w:tabs>
      <w:spacing w:before="0" w:after="0"/>
      <w:rPr/>
    </w:pPr>
    <w:r>
      <w:rPr>
        <w:spacing w:val="-1"/>
        <w:sz w:val="11"/>
      </w:rPr>
      <w:fldChar w:fldCharType="begin"/>
    </w:r>
    <w:r>
      <w:rPr>
        <w:sz w:val="11"/>
        <w:spacing w:val="-1"/>
      </w:rPr>
      <w:instrText xml:space="preserve"> FILENAME \p </w:instrText>
    </w:r>
    <w:r>
      <w:rPr>
        <w:sz w:val="11"/>
        <w:spacing w:val="-1"/>
      </w:rPr>
      <w:fldChar w:fldCharType="separate"/>
    </w:r>
    <w:r>
      <w:rPr>
        <w:sz w:val="11"/>
        <w:spacing w:val="-1"/>
      </w:rPr>
      <w:t>/mnt/main-storage/datasets/enron-docs/doc/Phase_II_LSA_Draft_Report.doc</w:t>
    </w:r>
    <w:r>
      <w:rPr>
        <w:sz w:val="11"/>
        <w:spacing w:val="-1"/>
      </w:rPr>
      <w:fldChar w:fldCharType="end"/>
    </w:r>
    <w:r>
      <w:rPr>
        <w:spacing w:val="-1"/>
        <w:sz w:val="13"/>
      </w:rPr>
      <w:tab/>
    </w:r>
    <w:r>
      <w:rPr>
        <w:spacing w:val="-1"/>
        <w:sz w:val="13"/>
      </w:rPr>
      <w:fldChar w:fldCharType="begin"/>
    </w:r>
    <w:r>
      <w:rPr>
        <w:sz w:val="13"/>
        <w:spacing w:val="-1"/>
      </w:rPr>
      <w:instrText xml:space="preserve"> DATE \@"MMMM', 'yyyy" </w:instrText>
    </w:r>
    <w:r>
      <w:rPr>
        <w:sz w:val="13"/>
        <w:spacing w:val="-1"/>
      </w:rPr>
      <w:fldChar w:fldCharType="separate"/>
    </w:r>
    <w:r>
      <w:rPr>
        <w:sz w:val="13"/>
        <w:spacing w:val="-1"/>
      </w:rPr>
      <w:t>September, 2025</w:t>
    </w:r>
    <w:r>
      <w:rPr>
        <w:sz w:val="13"/>
        <w:spacing w:val="-1"/>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0"/>
      <w:rPr>
        <w:sz w:val="10"/>
      </w:rPr>
    </w:pPr>
    <w:r>
      <w:rPr>
        <w:sz w:val="10"/>
      </w:rPr>
    </w:r>
  </w:p>
  <w:p>
    <w:pPr>
      <w:pStyle w:val="Normal"/>
      <w:spacing w:before="0" w:after="0"/>
      <w:ind w:end="360"/>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21">
              <wp:simplePos x="0" y="0"/>
              <wp:positionH relativeFrom="margin">
                <wp:posOffset>0</wp:posOffset>
              </wp:positionH>
              <wp:positionV relativeFrom="page">
                <wp:posOffset>9043670</wp:posOffset>
              </wp:positionV>
              <wp:extent cx="5943600" cy="12065"/>
              <wp:effectExtent l="0" t="635" r="0" b="0"/>
              <wp:wrapNone/>
              <wp:docPr id="4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12.1pt;width:467.95pt;height:0.9pt;mso-wrap-style:none;v-text-anchor:middle;mso-position-horizontal-relative:margin;mso-position-vertical-relative:page">
              <v:fill o:detectmouseclick="t" type="solid" color2="white"/>
              <v:stroke color="#3465a4" joinstyle="round" endcap="flat"/>
              <w10:wrap type="none"/>
            </v:rect>
          </w:pict>
        </mc:Fallback>
      </mc:AlternateContent>
    </w:r>
    <w:r>
      <mc:AlternateContent>
        <mc:Choice Requires="wps">
          <w:drawing>
            <wp:anchor behindDoc="0" distT="0" distB="0" distL="0" distR="0" simplePos="0" locked="0" layoutInCell="0" allowOverlap="1" relativeHeight="120">
              <wp:simplePos x="0" y="0"/>
              <wp:positionH relativeFrom="page">
                <wp:posOffset>4039235</wp:posOffset>
              </wp:positionH>
              <wp:positionV relativeFrom="paragraph">
                <wp:posOffset>146050</wp:posOffset>
              </wp:positionV>
              <wp:extent cx="96520" cy="153670"/>
              <wp:effectExtent l="0" t="0" r="0" b="0"/>
              <wp:wrapSquare wrapText="bothSides"/>
              <wp:docPr id="43" name="Frame13"/>
              <a:graphic xmlns:a="http://schemas.openxmlformats.org/drawingml/2006/main">
                <a:graphicData uri="http://schemas.microsoft.com/office/word/2010/wordprocessingShape">
                  <wps:wsp>
                    <wps:cNvSpPr txBox="1"/>
                    <wps:spPr>
                      <a:xfrm>
                        <a:off x="0" y="0"/>
                        <a:ext cx="96520" cy="153670"/>
                      </a:xfrm>
                      <a:prstGeom prst="rect"/>
                      <a:solidFill>
                        <a:srgbClr val="FFFFFF">
                          <a:alpha val="0"/>
                        </a:srgbClr>
                      </a:solidFill>
                    </wps:spPr>
                    <wps:txbx>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6pt;height:12.1pt;mso-wrap-distance-left:0pt;mso-wrap-distance-right:0pt;mso-wrap-distance-top:0pt;mso-wrap-distance-bottom:0pt;margin-top:11.5pt;mso-position-vertical-relative:text;margin-left:318.05pt;mso-position-horizontal-relative:page">
              <v:fill opacity="0f"/>
              <v:textbox inset="0in,0in,0in,0in">
                <w:txbxContent>
                  <w:p>
                    <w:pPr>
                      <w:pStyle w:val="Footer"/>
                      <w:spacing w:before="0" w:after="0"/>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p>
    <w:pPr>
      <w:pStyle w:val="Normal"/>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none"/>
      </w:tabs>
      <w:spacing w:before="0" w:after="0"/>
      <w:rPr/>
    </w:pPr>
    <w:r>
      <w:rPr>
        <w:spacing w:val="-1"/>
        <w:sz w:val="11"/>
      </w:rPr>
      <w:fldChar w:fldCharType="begin"/>
    </w:r>
    <w:r>
      <w:rPr>
        <w:sz w:val="11"/>
        <w:spacing w:val="-1"/>
      </w:rPr>
      <w:instrText xml:space="preserve"> FILENAME \p </w:instrText>
    </w:r>
    <w:r>
      <w:rPr>
        <w:sz w:val="11"/>
        <w:spacing w:val="-1"/>
      </w:rPr>
      <w:fldChar w:fldCharType="separate"/>
    </w:r>
    <w:r>
      <w:rPr>
        <w:sz w:val="11"/>
        <w:spacing w:val="-1"/>
      </w:rPr>
      <w:t>/mnt/main-storage/datasets/enron-docs/doc/Phase_II_LSA_Draft_Report.doc</w:t>
    </w:r>
    <w:r>
      <w:rPr>
        <w:sz w:val="11"/>
        <w:spacing w:val="-1"/>
      </w:rPr>
      <w:fldChar w:fldCharType="end"/>
    </w:r>
    <w:r>
      <w:rPr>
        <w:spacing w:val="-1"/>
        <w:sz w:val="13"/>
      </w:rPr>
      <w:tab/>
    </w:r>
    <w:r>
      <w:rPr>
        <w:spacing w:val="-1"/>
        <w:sz w:val="13"/>
      </w:rPr>
      <w:fldChar w:fldCharType="begin"/>
    </w:r>
    <w:r>
      <w:rPr>
        <w:sz w:val="13"/>
        <w:spacing w:val="-1"/>
      </w:rPr>
      <w:instrText xml:space="preserve"> SAVEDATE \@"MMMM', 'yyyy" </w:instrText>
    </w:r>
    <w:r>
      <w:rPr>
        <w:sz w:val="13"/>
        <w:spacing w:val="-1"/>
      </w:rPr>
      <w:fldChar w:fldCharType="separate"/>
    </w:r>
    <w:r>
      <w:rPr>
        <w:sz w:val="13"/>
        <w:spacing w:val="-1"/>
      </w:rPr>
      <w:t>December, 2000</w:t>
    </w:r>
    <w:r>
      <w:rPr>
        <w:sz w:val="13"/>
        <w:spacing w:val="-1"/>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DRAFT</w:t>
    </w:r>
    <w:r>
      <mc:AlternateContent>
        <mc:Choice Requires="wps">
          <w:drawing>
            <wp:anchor behindDoc="0" distT="0" distB="0" distL="114300" distR="114300" simplePos="0" locked="0" layoutInCell="0" allowOverlap="1" relativeHeight="41">
              <wp:simplePos x="0" y="0"/>
              <wp:positionH relativeFrom="page">
                <wp:posOffset>6508115</wp:posOffset>
              </wp:positionH>
              <wp:positionV relativeFrom="paragraph">
                <wp:posOffset>69215</wp:posOffset>
              </wp:positionV>
              <wp:extent cx="538480" cy="180975"/>
              <wp:effectExtent l="0" t="0" r="0" b="0"/>
              <wp:wrapSquare wrapText="bothSides"/>
              <wp:docPr id="1" name="Frame4"/>
              <a:graphic xmlns:a="http://schemas.openxmlformats.org/drawingml/2006/main">
                <a:graphicData uri="http://schemas.microsoft.com/office/word/2010/wordprocessingShape">
                  <wps:wsp>
                    <wps:cNvSpPr txBox="1"/>
                    <wps:spPr>
                      <a:xfrm>
                        <a:off x="0" y="0"/>
                        <a:ext cx="538480" cy="180975"/>
                      </a:xfrm>
                      <a:prstGeom prst="rect"/>
                      <a:solidFill>
                        <a:srgbClr val="FFFFFF">
                          <a:alpha val="0"/>
                        </a:srgbClr>
                      </a:solidFill>
                    </wps:spPr>
                    <wps:txbx>
                      <w:txbxContent>
                        <w:p>
                          <w:pPr>
                            <w:pStyle w:val="Normal"/>
                            <w:spacing w:before="0" w:after="0"/>
                            <w:rPr/>
                          </w:pPr>
                          <w:r>
                            <w:rPr/>
                            <w:drawing>
                              <wp:inline distT="0" distB="0" distL="0" distR="0">
                                <wp:extent cx="537845" cy="1809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3" t="-39" r="-13" b="-39"/>
                                        <a:stretch>
                                          <a:fillRect/>
                                        </a:stretch>
                                      </pic:blipFill>
                                      <pic:spPr bwMode="auto">
                                        <a:xfrm>
                                          <a:off x="0" y="0"/>
                                          <a:ext cx="537845" cy="1809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2.4pt;height:14.25pt;mso-wrap-distance-left:9pt;mso-wrap-distance-right:9pt;mso-wrap-distance-top:0pt;mso-wrap-distance-bottom:0pt;margin-top:5.45pt;mso-position-vertical-relative:text;margin-left:512.45pt;mso-position-horizontal-relative:page">
              <v:fill opacity="0f"/>
              <v:textbox inset="0in,0in,0in,0in">
                <w:txbxContent>
                  <w:p>
                    <w:pPr>
                      <w:pStyle w:val="Normal"/>
                      <w:spacing w:before="0" w:after="0"/>
                      <w:rPr/>
                    </w:pPr>
                    <w:r>
                      <w:rPr/>
                      <w:drawing>
                        <wp:inline distT="0" distB="0" distL="0" distR="0">
                          <wp:extent cx="537845" cy="1809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13" t="-39" r="-13" b="-39"/>
                                  <a:stretch>
                                    <a:fillRect/>
                                  </a:stretch>
                                </pic:blipFill>
                                <pic:spPr bwMode="auto">
                                  <a:xfrm>
                                    <a:off x="0" y="0"/>
                                    <a:ext cx="537845" cy="180975"/>
                                  </a:xfrm>
                                  <a:prstGeom prst="rect">
                                    <a:avLst/>
                                  </a:prstGeom>
                                  <a:noFill/>
                                </pic:spPr>
                              </pic:pic>
                            </a:graphicData>
                          </a:graphic>
                        </wp:inline>
                      </w:drawing>
                    </w:r>
                  </w:p>
                </w:txbxContent>
              </v:textbox>
              <w10:wrap type="square"/>
            </v:rect>
          </w:pict>
        </mc:Fallback>
      </mc:AlternateContent>
    </w:r>
  </w:p>
  <w:p>
    <w:pPr>
      <w:pStyle w:val="Header"/>
      <w:rPr>
        <w:sz w:val="22"/>
      </w:rPr>
    </w:pPr>
    <w:r>
      <w:rPr>
        <w:sz w:val="22"/>
      </w:rPr>
    </w:r>
  </w:p>
  <w:p>
    <w:pPr>
      <w:pStyle w:val="Header"/>
      <w:rPr>
        <w:lang w:val="en-CA"/>
      </w:rPr>
    </w:pPr>
    <w:r>
      <w:rPr>
        <w:lang w:val="en-CA"/>
      </w:rPr>
      <mc:AlternateContent>
        <mc:Choice Requires="wps">
          <w:drawing>
            <wp:anchor behindDoc="1" distT="0" distB="0" distL="114935" distR="114935" simplePos="0" locked="0" layoutInCell="0" allowOverlap="1" relativeHeight="85">
              <wp:simplePos x="0" y="0"/>
              <wp:positionH relativeFrom="margin">
                <wp:posOffset>0</wp:posOffset>
              </wp:positionH>
              <wp:positionV relativeFrom="page">
                <wp:posOffset>978535</wp:posOffset>
              </wp:positionV>
              <wp:extent cx="5943600" cy="27305"/>
              <wp:effectExtent l="0" t="635" r="0" b="0"/>
              <wp:wrapNone/>
              <wp:docPr id="4"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18">
              <wp:simplePos x="0" y="0"/>
              <wp:positionH relativeFrom="page">
                <wp:posOffset>6508115</wp:posOffset>
              </wp:positionH>
              <wp:positionV relativeFrom="paragraph">
                <wp:posOffset>69215</wp:posOffset>
              </wp:positionV>
              <wp:extent cx="538480" cy="180975"/>
              <wp:effectExtent l="0" t="0" r="0" b="0"/>
              <wp:wrapSquare wrapText="bothSides"/>
              <wp:docPr id="7" name="Frame8"/>
              <a:graphic xmlns:a="http://schemas.openxmlformats.org/drawingml/2006/main">
                <a:graphicData uri="http://schemas.microsoft.com/office/word/2010/wordprocessingShape">
                  <wps:wsp>
                    <wps:cNvSpPr txBox="1"/>
                    <wps:spPr>
                      <a:xfrm>
                        <a:off x="0" y="0"/>
                        <a:ext cx="538480" cy="180975"/>
                      </a:xfrm>
                      <a:prstGeom prst="rect"/>
                      <a:solidFill>
                        <a:srgbClr val="FFFFFF">
                          <a:alpha val="0"/>
                        </a:srgbClr>
                      </a:solidFill>
                    </wps:spPr>
                    <wps:txbx>
                      <w:txbxContent>
                        <w:p>
                          <w:pPr>
                            <w:pStyle w:val="Normal"/>
                            <w:spacing w:before="0" w:after="0"/>
                            <w:rPr/>
                          </w:pPr>
                          <w:r>
                            <w:rPr/>
                            <w:drawing>
                              <wp:inline distT="0" distB="0" distL="0" distR="0">
                                <wp:extent cx="537845" cy="180975"/>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
                                        <a:srcRect l="-13" t="-39" r="-13" b="-39"/>
                                        <a:stretch>
                                          <a:fillRect/>
                                        </a:stretch>
                                      </pic:blipFill>
                                      <pic:spPr bwMode="auto">
                                        <a:xfrm>
                                          <a:off x="0" y="0"/>
                                          <a:ext cx="537845" cy="1809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2.4pt;height:14.25pt;mso-wrap-distance-left:9pt;mso-wrap-distance-right:9pt;mso-wrap-distance-top:0pt;mso-wrap-distance-bottom:0pt;margin-top:5.45pt;mso-position-vertical-relative:text;margin-left:512.45pt;mso-position-horizontal-relative:page">
              <v:fill opacity="0f"/>
              <v:textbox inset="0in,0in,0in,0in">
                <w:txbxContent>
                  <w:p>
                    <w:pPr>
                      <w:pStyle w:val="Normal"/>
                      <w:spacing w:before="0" w:after="0"/>
                      <w:rPr/>
                    </w:pPr>
                    <w:r>
                      <w:rPr/>
                      <w:drawing>
                        <wp:inline distT="0" distB="0" distL="0" distR="0">
                          <wp:extent cx="537845" cy="180975"/>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2"/>
                                  <a:srcRect l="-13" t="-39" r="-13" b="-39"/>
                                  <a:stretch>
                                    <a:fillRect/>
                                  </a:stretch>
                                </pic:blipFill>
                                <pic:spPr bwMode="auto">
                                  <a:xfrm>
                                    <a:off x="0" y="0"/>
                                    <a:ext cx="537845" cy="180975"/>
                                  </a:xfrm>
                                  <a:prstGeom prst="rect">
                                    <a:avLst/>
                                  </a:prstGeom>
                                  <a:noFill/>
                                </pic:spPr>
                              </pic:pic>
                            </a:graphicData>
                          </a:graphic>
                        </wp:inline>
                      </w:drawing>
                    </w:r>
                  </w:p>
                </w:txbxContent>
              </v:textbox>
              <w10:wrap type="square"/>
            </v:rect>
          </w:pict>
        </mc:Fallback>
      </mc:AlternateContent>
    </w:r>
  </w:p>
  <w:p>
    <w:pPr>
      <w:pStyle w:val="Header"/>
      <w:rPr/>
    </w:pPr>
    <w:r>
      <w:rPr/>
    </w:r>
  </w:p>
  <w:p>
    <w:pPr>
      <w:pStyle w:val="Header"/>
      <w:rPr/>
    </w:pPr>
    <w:r>
      <w:rPr/>
    </w:r>
  </w:p>
  <w:p>
    <w:pPr>
      <w:pStyle w:val="Heading"/>
      <w:spacing w:before="0" w:after="320"/>
      <w:jc w:val="center"/>
      <w:rPr/>
    </w:pPr>
    <w:r>
      <mc:AlternateContent>
        <mc:Choice Requires="wps">
          <w:drawing>
            <wp:anchor behindDoc="1" distT="0" distB="0" distL="114935" distR="114935" simplePos="0" locked="0" layoutInCell="0" allowOverlap="1" relativeHeight="107">
              <wp:simplePos x="0" y="0"/>
              <wp:positionH relativeFrom="margin">
                <wp:posOffset>0</wp:posOffset>
              </wp:positionH>
              <wp:positionV relativeFrom="page">
                <wp:posOffset>978535</wp:posOffset>
              </wp:positionV>
              <wp:extent cx="5943600" cy="27305"/>
              <wp:effectExtent l="0" t="635" r="0" b="0"/>
              <wp:wrapNone/>
              <wp:docPr id="10"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w:r>
    <w:r>
      <w:rPr/>
      <w:t>CONTENTS (Cont’d)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113">
              <wp:simplePos x="0" y="0"/>
              <wp:positionH relativeFrom="page">
                <wp:posOffset>6508115</wp:posOffset>
              </wp:positionH>
              <wp:positionV relativeFrom="paragraph">
                <wp:posOffset>76835</wp:posOffset>
              </wp:positionV>
              <wp:extent cx="538480" cy="180975"/>
              <wp:effectExtent l="0" t="0" r="0" b="0"/>
              <wp:wrapSquare wrapText="bothSides"/>
              <wp:docPr id="11" name="Frame6"/>
              <a:graphic xmlns:a="http://schemas.openxmlformats.org/drawingml/2006/main">
                <a:graphicData uri="http://schemas.microsoft.com/office/word/2010/wordprocessingShape">
                  <wps:wsp>
                    <wps:cNvSpPr txBox="1"/>
                    <wps:spPr>
                      <a:xfrm>
                        <a:off x="0" y="0"/>
                        <a:ext cx="538480" cy="180975"/>
                      </a:xfrm>
                      <a:prstGeom prst="rect"/>
                      <a:solidFill>
                        <a:srgbClr val="FFFFFF">
                          <a:alpha val="0"/>
                        </a:srgbClr>
                      </a:solidFill>
                    </wps:spPr>
                    <wps:txbx>
                      <w:txbxContent>
                        <w:p>
                          <w:pPr>
                            <w:pStyle w:val="Normal"/>
                            <w:spacing w:before="0" w:after="0"/>
                            <w:rPr/>
                          </w:pPr>
                          <w:r>
                            <w:rPr/>
                            <w:drawing>
                              <wp:inline distT="0" distB="0" distL="0" distR="0">
                                <wp:extent cx="537845" cy="180975"/>
                                <wp:effectExtent l="0" t="0" r="0" b="0"/>
                                <wp:docPr id="1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title=""/>
                                        <pic:cNvPicPr>
                                          <a:picLocks noChangeAspect="1" noChangeArrowheads="1"/>
                                        </pic:cNvPicPr>
                                      </pic:nvPicPr>
                                      <pic:blipFill>
                                        <a:blip r:embed="rId1"/>
                                        <a:srcRect l="-13" t="-39" r="-13" b="-39"/>
                                        <a:stretch>
                                          <a:fillRect/>
                                        </a:stretch>
                                      </pic:blipFill>
                                      <pic:spPr bwMode="auto">
                                        <a:xfrm>
                                          <a:off x="0" y="0"/>
                                          <a:ext cx="537845" cy="1809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2.4pt;height:14.25pt;mso-wrap-distance-left:9pt;mso-wrap-distance-right:9pt;mso-wrap-distance-top:0pt;mso-wrap-distance-bottom:0pt;margin-top:6.05pt;mso-position-vertical-relative:text;margin-left:512.45pt;mso-position-horizontal-relative:page">
              <v:fill opacity="0f"/>
              <v:textbox inset="0in,0in,0in,0in">
                <w:txbxContent>
                  <w:p>
                    <w:pPr>
                      <w:pStyle w:val="Normal"/>
                      <w:spacing w:before="0" w:after="0"/>
                      <w:rPr/>
                    </w:pPr>
                    <w:r>
                      <w:rPr/>
                      <w:drawing>
                        <wp:inline distT="0" distB="0" distL="0" distR="0">
                          <wp:extent cx="537845" cy="180975"/>
                          <wp:effectExtent l="0" t="0" r="0" b="0"/>
                          <wp:docPr id="1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title=""/>
                                  <pic:cNvPicPr>
                                    <a:picLocks noChangeAspect="1" noChangeArrowheads="1"/>
                                  </pic:cNvPicPr>
                                </pic:nvPicPr>
                                <pic:blipFill>
                                  <a:blip r:embed="rId2"/>
                                  <a:srcRect l="-13" t="-39" r="-13" b="-39"/>
                                  <a:stretch>
                                    <a:fillRect/>
                                  </a:stretch>
                                </pic:blipFill>
                                <pic:spPr bwMode="auto">
                                  <a:xfrm>
                                    <a:off x="0" y="0"/>
                                    <a:ext cx="537845" cy="180975"/>
                                  </a:xfrm>
                                  <a:prstGeom prst="rect">
                                    <a:avLst/>
                                  </a:prstGeom>
                                  <a:noFill/>
                                </pic:spPr>
                              </pic:pic>
                            </a:graphicData>
                          </a:graphic>
                        </wp:inline>
                      </w:drawing>
                    </w:r>
                  </w:p>
                </w:txbxContent>
              </v:textbox>
              <w10:wrap type="square"/>
            </v:rect>
          </w:pict>
        </mc:Fallback>
      </mc:AlternateContent>
    </w:r>
  </w:p>
  <w:p>
    <w:pPr>
      <w:pStyle w:val="Header"/>
      <w:rPr/>
    </w:pPr>
    <w:r>
      <w:rPr/>
    </w:r>
  </w:p>
  <w:p>
    <w:pPr>
      <w:pStyle w:val="Header"/>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15">
              <wp:simplePos x="0" y="0"/>
              <wp:positionH relativeFrom="margin">
                <wp:posOffset>0</wp:posOffset>
              </wp:positionH>
              <wp:positionV relativeFrom="page">
                <wp:posOffset>978535</wp:posOffset>
              </wp:positionV>
              <wp:extent cx="5943600" cy="27305"/>
              <wp:effectExtent l="0" t="635" r="0" b="0"/>
              <wp:wrapNone/>
              <wp:docPr id="14"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1" allowOverlap="1" relativeHeight="0">
              <wp:simplePos x="0" y="0"/>
              <wp:positionH relativeFrom="page">
                <wp:posOffset>6508115</wp:posOffset>
              </wp:positionH>
              <wp:positionV relativeFrom="paragraph">
                <wp:posOffset>69215</wp:posOffset>
              </wp:positionV>
              <wp:extent cx="537845" cy="20955"/>
              <wp:effectExtent l="0" t="0" r="0" b="0"/>
              <wp:wrapSquare wrapText="bothSides"/>
              <wp:docPr id="19" name="Frame12"/>
              <a:graphic xmlns:a="http://schemas.openxmlformats.org/drawingml/2006/main">
                <a:graphicData uri="http://schemas.microsoft.com/office/word/2010/wordprocessingShape">
                  <wps:wsp>
                    <wps:cNvSpPr txBox="1"/>
                    <wps:spPr>
                      <a:xfrm>
                        <a:off x="0" y="0"/>
                        <a:ext cx="537845" cy="20955"/>
                      </a:xfrm>
                      <a:prstGeom prst="rect"/>
                      <a:solidFill>
                        <a:srgbClr val="FFFFFF">
                          <a:alpha val="0"/>
                        </a:srgbClr>
                      </a:solidFill>
                    </wps:spPr>
                    <wps:txbx>
                      <w:txbxContent>
                        <w:p>
                          <w:pPr>
                            <w:pStyle w:val="Normal"/>
                            <w:spacing w:before="0" w:after="0"/>
                            <w:rPr/>
                          </w:pPr>
                          <w:r>
                            <w:rPr/>
                            <w:drawing>
                              <wp:inline distT="0" distB="0" distL="0" distR="0">
                                <wp:extent cx="537845" cy="180975"/>
                                <wp:effectExtent l="0" t="0" r="0" b="0"/>
                                <wp:docPr id="2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 descr="" title=""/>
                                        <pic:cNvPicPr>
                                          <a:picLocks noChangeAspect="1" noChangeArrowheads="1"/>
                                        </pic:cNvPicPr>
                                      </pic:nvPicPr>
                                      <pic:blipFill>
                                        <a:blip r:embed="rId1"/>
                                        <a:stretch>
                                          <a:fillRect/>
                                        </a:stretch>
                                      </pic:blipFill>
                                      <pic:spPr bwMode="auto">
                                        <a:xfrm>
                                          <a:off x="0" y="0"/>
                                          <a:ext cx="537845" cy="180975"/>
                                        </a:xfrm>
                                        <a:prstGeom prst="rect">
                                          <a:avLst/>
                                        </a:prstGeom>
                                      </pic:spPr>
                                    </pic:pic>
                                  </a:graphicData>
                                </a:graphic>
                              </wp:inline>
                            </w:drawing>
                          </w:r>
                        </w:p>
                      </w:txbxContent>
                    </wps:txbx>
                    <wps:bodyPr anchor="t" lIns="0" tIns="0" rIns="0" bIns="0">
                      <a:noAutofit/>
                    </wps:bodyPr>
                  </wps:wsp>
                </a:graphicData>
              </a:graphic>
            </wp:anchor>
          </w:drawing>
        </mc:Choice>
        <mc:Fallback>
          <w:pict>
            <v:rect fillcolor="#FFFFFF" style="position:absolute;rotation:-0;width:42.35pt;height:1.65pt;mso-wrap-distance-left:9pt;mso-wrap-distance-right:9pt;mso-wrap-distance-top:0pt;mso-wrap-distance-bottom:0pt;margin-top:5.45pt;mso-position-vertical-relative:text;margin-left:512.45pt;mso-position-horizontal-relative:page">
              <v:fill opacity="0f"/>
              <v:textbox inset="0in,0in,0in,0in">
                <w:txbxContent>
                  <w:p>
                    <w:pPr>
                      <w:pStyle w:val="Normal"/>
                      <w:spacing w:before="0" w:after="0"/>
                      <w:rPr/>
                    </w:pPr>
                    <w:r>
                      <w:rPr/>
                      <w:drawing>
                        <wp:inline distT="0" distB="0" distL="0" distR="0">
                          <wp:extent cx="537845" cy="180975"/>
                          <wp:effectExtent l="0" t="0" r="0" b="0"/>
                          <wp:docPr id="2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 descr="" title=""/>
                                  <pic:cNvPicPr>
                                    <a:picLocks noChangeAspect="1" noChangeArrowheads="1"/>
                                  </pic:cNvPicPr>
                                </pic:nvPicPr>
                                <pic:blipFill>
                                  <a:blip r:embed="rId2"/>
                                  <a:stretch>
                                    <a:fillRect/>
                                  </a:stretch>
                                </pic:blipFill>
                                <pic:spPr bwMode="auto">
                                  <a:xfrm>
                                    <a:off x="0" y="0"/>
                                    <a:ext cx="537845" cy="180975"/>
                                  </a:xfrm>
                                  <a:prstGeom prst="rect">
                                    <a:avLst/>
                                  </a:prstGeom>
                                </pic:spPr>
                              </pic:pic>
                            </a:graphicData>
                          </a:graphic>
                        </wp:inline>
                      </w:drawing>
                    </w:r>
                  </w:p>
                </w:txbxContent>
              </v:textbox>
              <w10:wrap type="square"/>
            </v:rect>
          </w:pict>
        </mc:Fallback>
      </mc:AlternateContent>
    </w:r>
  </w:p>
  <w:p>
    <w:pPr>
      <w:pStyle w:val="Header"/>
      <w:rPr/>
    </w:pPr>
    <w:r>
      <w:rPr/>
    </w:r>
  </w:p>
  <w:p>
    <w:pPr>
      <w:pStyle w:val="Header"/>
      <w:rPr/>
    </w:pPr>
    <w:r>
      <w:rPr/>
    </w:r>
  </w:p>
  <w:p>
    <w:pPr>
      <w:pStyle w:val="Heading"/>
      <w:spacing w:before="0" w:after="320"/>
      <w:jc w:val="center"/>
      <w:rPr/>
    </w:pPr>
    <w:r>
      <mc:AlternateContent>
        <mc:Choice Requires="wps">
          <w:drawing>
            <wp:anchor behindDoc="1" distT="0" distB="0" distL="114935" distR="114935" simplePos="0" locked="0" layoutInCell="0" allowOverlap="1" relativeHeight="105">
              <wp:simplePos x="0" y="0"/>
              <wp:positionH relativeFrom="margin">
                <wp:posOffset>0</wp:posOffset>
              </wp:positionH>
              <wp:positionV relativeFrom="page">
                <wp:posOffset>978535</wp:posOffset>
              </wp:positionV>
              <wp:extent cx="5943600" cy="27305"/>
              <wp:effectExtent l="0" t="635" r="0" b="0"/>
              <wp:wrapNone/>
              <wp:docPr id="22"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w:r>
    <w:r>
      <w:rPr/>
      <w:t>LIST OF TABLES (Cont’d)</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63">
              <wp:simplePos x="0" y="0"/>
              <wp:positionH relativeFrom="page">
                <wp:posOffset>6508115</wp:posOffset>
              </wp:positionH>
              <wp:positionV relativeFrom="paragraph">
                <wp:posOffset>76835</wp:posOffset>
              </wp:positionV>
              <wp:extent cx="538480" cy="180975"/>
              <wp:effectExtent l="0" t="0" r="0" b="0"/>
              <wp:wrapSquare wrapText="bothSides"/>
              <wp:docPr id="23" name="Frame10"/>
              <a:graphic xmlns:a="http://schemas.openxmlformats.org/drawingml/2006/main">
                <a:graphicData uri="http://schemas.microsoft.com/office/word/2010/wordprocessingShape">
                  <wps:wsp>
                    <wps:cNvSpPr txBox="1"/>
                    <wps:spPr>
                      <a:xfrm>
                        <a:off x="0" y="0"/>
                        <a:ext cx="538480" cy="180975"/>
                      </a:xfrm>
                      <a:prstGeom prst="rect"/>
                      <a:solidFill>
                        <a:srgbClr val="FFFFFF">
                          <a:alpha val="0"/>
                        </a:srgbClr>
                      </a:solidFill>
                    </wps:spPr>
                    <wps:txbx>
                      <w:txbxContent>
                        <w:p>
                          <w:pPr>
                            <w:pStyle w:val="Normal"/>
                            <w:spacing w:before="0" w:after="0"/>
                            <w:rPr/>
                          </w:pPr>
                          <w:r>
                            <w:rPr/>
                            <w:drawing>
                              <wp:inline distT="0" distB="0" distL="0" distR="0">
                                <wp:extent cx="537845" cy="180975"/>
                                <wp:effectExtent l="0" t="0" r="0" b="0"/>
                                <wp:docPr id="2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 descr="" title=""/>
                                        <pic:cNvPicPr>
                                          <a:picLocks noChangeAspect="1" noChangeArrowheads="1"/>
                                        </pic:cNvPicPr>
                                      </pic:nvPicPr>
                                      <pic:blipFill>
                                        <a:blip r:embed="rId1"/>
                                        <a:srcRect l="-13" t="-39" r="-13" b="-39"/>
                                        <a:stretch>
                                          <a:fillRect/>
                                        </a:stretch>
                                      </pic:blipFill>
                                      <pic:spPr bwMode="auto">
                                        <a:xfrm>
                                          <a:off x="0" y="0"/>
                                          <a:ext cx="537845" cy="1809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2.4pt;height:14.25pt;mso-wrap-distance-left:9pt;mso-wrap-distance-right:9pt;mso-wrap-distance-top:0pt;mso-wrap-distance-bottom:0pt;margin-top:6.05pt;mso-position-vertical-relative:text;margin-left:512.45pt;mso-position-horizontal-relative:page">
              <v:fill opacity="0f"/>
              <v:textbox inset="0in,0in,0in,0in">
                <w:txbxContent>
                  <w:p>
                    <w:pPr>
                      <w:pStyle w:val="Normal"/>
                      <w:spacing w:before="0" w:after="0"/>
                      <w:rPr/>
                    </w:pPr>
                    <w:r>
                      <w:rPr/>
                      <w:drawing>
                        <wp:inline distT="0" distB="0" distL="0" distR="0">
                          <wp:extent cx="537845" cy="180975"/>
                          <wp:effectExtent l="0" t="0" r="0" b="0"/>
                          <wp:docPr id="2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 descr="" title=""/>
                                  <pic:cNvPicPr>
                                    <a:picLocks noChangeAspect="1" noChangeArrowheads="1"/>
                                  </pic:cNvPicPr>
                                </pic:nvPicPr>
                                <pic:blipFill>
                                  <a:blip r:embed="rId2"/>
                                  <a:srcRect l="-13" t="-39" r="-13" b="-39"/>
                                  <a:stretch>
                                    <a:fillRect/>
                                  </a:stretch>
                                </pic:blipFill>
                                <pic:spPr bwMode="auto">
                                  <a:xfrm>
                                    <a:off x="0" y="0"/>
                                    <a:ext cx="537845" cy="180975"/>
                                  </a:xfrm>
                                  <a:prstGeom prst="rect">
                                    <a:avLst/>
                                  </a:prstGeom>
                                  <a:noFill/>
                                </pic:spPr>
                              </pic:pic>
                            </a:graphicData>
                          </a:graphic>
                        </wp:inline>
                      </w:drawing>
                    </w:r>
                  </w:p>
                </w:txbxContent>
              </v:textbox>
              <w10:wrap type="square"/>
            </v:rect>
          </w:pict>
        </mc:Fallback>
      </mc:AlternateContent>
    </w:r>
  </w:p>
  <w:p>
    <w:pPr>
      <w:pStyle w:val="Header"/>
      <w:rPr/>
    </w:pPr>
    <w:r>
      <w:rPr/>
    </w:r>
  </w:p>
  <w:p>
    <w:pPr>
      <w:pStyle w:val="Header"/>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06">
              <wp:simplePos x="0" y="0"/>
              <wp:positionH relativeFrom="margin">
                <wp:posOffset>0</wp:posOffset>
              </wp:positionH>
              <wp:positionV relativeFrom="page">
                <wp:posOffset>978535</wp:posOffset>
              </wp:positionV>
              <wp:extent cx="5943600" cy="27305"/>
              <wp:effectExtent l="0" t="635" r="0" b="0"/>
              <wp:wrapNone/>
              <wp:docPr id="26"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1" allowOverlap="1" relativeHeight="0">
              <wp:simplePos x="0" y="0"/>
              <wp:positionH relativeFrom="page">
                <wp:posOffset>6508115</wp:posOffset>
              </wp:positionH>
              <wp:positionV relativeFrom="paragraph">
                <wp:posOffset>69215</wp:posOffset>
              </wp:positionV>
              <wp:extent cx="537845" cy="20955"/>
              <wp:effectExtent l="0" t="0" r="0" b="0"/>
              <wp:wrapSquare wrapText="bothSides"/>
              <wp:docPr id="31" name="Frame16"/>
              <a:graphic xmlns:a="http://schemas.openxmlformats.org/drawingml/2006/main">
                <a:graphicData uri="http://schemas.microsoft.com/office/word/2010/wordprocessingShape">
                  <wps:wsp>
                    <wps:cNvSpPr txBox="1"/>
                    <wps:spPr>
                      <a:xfrm>
                        <a:off x="0" y="0"/>
                        <a:ext cx="537845" cy="20955"/>
                      </a:xfrm>
                      <a:prstGeom prst="rect"/>
                      <a:solidFill>
                        <a:srgbClr val="FFFFFF">
                          <a:alpha val="0"/>
                        </a:srgbClr>
                      </a:solidFill>
                    </wps:spPr>
                    <wps:txbx>
                      <w:txbxContent>
                        <w:p>
                          <w:pPr>
                            <w:pStyle w:val="Normal"/>
                            <w:spacing w:before="0" w:after="0"/>
                            <w:rPr/>
                          </w:pPr>
                          <w:r>
                            <w:rPr/>
                            <w:drawing>
                              <wp:inline distT="0" distB="0" distL="0" distR="0">
                                <wp:extent cx="537845" cy="180975"/>
                                <wp:effectExtent l="0" t="0" r="0" b="0"/>
                                <wp:docPr id="3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 descr="" title=""/>
                                        <pic:cNvPicPr>
                                          <a:picLocks noChangeAspect="1" noChangeArrowheads="1"/>
                                        </pic:cNvPicPr>
                                      </pic:nvPicPr>
                                      <pic:blipFill>
                                        <a:blip r:embed="rId1"/>
                                        <a:stretch>
                                          <a:fillRect/>
                                        </a:stretch>
                                      </pic:blipFill>
                                      <pic:spPr bwMode="auto">
                                        <a:xfrm>
                                          <a:off x="0" y="0"/>
                                          <a:ext cx="537845" cy="180975"/>
                                        </a:xfrm>
                                        <a:prstGeom prst="rect">
                                          <a:avLst/>
                                        </a:prstGeom>
                                      </pic:spPr>
                                    </pic:pic>
                                  </a:graphicData>
                                </a:graphic>
                              </wp:inline>
                            </w:drawing>
                          </w:r>
                        </w:p>
                      </w:txbxContent>
                    </wps:txbx>
                    <wps:bodyPr anchor="t" lIns="0" tIns="0" rIns="0" bIns="0">
                      <a:noAutofit/>
                    </wps:bodyPr>
                  </wps:wsp>
                </a:graphicData>
              </a:graphic>
            </wp:anchor>
          </w:drawing>
        </mc:Choice>
        <mc:Fallback>
          <w:pict>
            <v:rect fillcolor="#FFFFFF" style="position:absolute;rotation:-0;width:42.35pt;height:1.65pt;mso-wrap-distance-left:9pt;mso-wrap-distance-right:9pt;mso-wrap-distance-top:0pt;mso-wrap-distance-bottom:0pt;margin-top:5.45pt;mso-position-vertical-relative:text;margin-left:512.45pt;mso-position-horizontal-relative:page">
              <v:fill opacity="0f"/>
              <v:textbox inset="0in,0in,0in,0in">
                <w:txbxContent>
                  <w:p>
                    <w:pPr>
                      <w:pStyle w:val="Normal"/>
                      <w:spacing w:before="0" w:after="0"/>
                      <w:rPr/>
                    </w:pPr>
                    <w:r>
                      <w:rPr/>
                      <w:drawing>
                        <wp:inline distT="0" distB="0" distL="0" distR="0">
                          <wp:extent cx="537845" cy="180975"/>
                          <wp:effectExtent l="0" t="0" r="0" b="0"/>
                          <wp:docPr id="3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7" descr="" title=""/>
                                  <pic:cNvPicPr>
                                    <a:picLocks noChangeAspect="1" noChangeArrowheads="1"/>
                                  </pic:cNvPicPr>
                                </pic:nvPicPr>
                                <pic:blipFill>
                                  <a:blip r:embed="rId2"/>
                                  <a:stretch>
                                    <a:fillRect/>
                                  </a:stretch>
                                </pic:blipFill>
                                <pic:spPr bwMode="auto">
                                  <a:xfrm>
                                    <a:off x="0" y="0"/>
                                    <a:ext cx="537845" cy="180975"/>
                                  </a:xfrm>
                                  <a:prstGeom prst="rect">
                                    <a:avLst/>
                                  </a:prstGeom>
                                </pic:spPr>
                              </pic:pic>
                            </a:graphicData>
                          </a:graphic>
                        </wp:inline>
                      </w:drawing>
                    </w:r>
                  </w:p>
                </w:txbxContent>
              </v:textbox>
              <w10:wrap type="square"/>
            </v:rect>
          </w:pict>
        </mc:Fallback>
      </mc:AlternateContent>
    </w:r>
  </w:p>
  <w:p>
    <w:pPr>
      <w:pStyle w:val="Header"/>
      <w:rPr/>
    </w:pPr>
    <w:r>
      <w:rPr/>
    </w:r>
  </w:p>
  <w:p>
    <w:pPr>
      <w:pStyle w:val="Header"/>
      <w:rPr/>
    </w:pPr>
    <w:r>
      <w:rPr/>
    </w:r>
  </w:p>
  <w:p>
    <w:pPr>
      <w:pStyle w:val="Heading"/>
      <w:spacing w:before="0" w:after="320"/>
      <w:jc w:val="center"/>
      <w:rPr/>
    </w:pPr>
    <w:r>
      <w:rPr/>
      <mc:AlternateContent>
        <mc:Choice Requires="wps">
          <w:drawing>
            <wp:anchor behindDoc="1" distT="0" distB="0" distL="114935" distR="114935" simplePos="0" locked="0" layoutInCell="0" allowOverlap="1" relativeHeight="112">
              <wp:simplePos x="0" y="0"/>
              <wp:positionH relativeFrom="margin">
                <wp:posOffset>0</wp:posOffset>
              </wp:positionH>
              <wp:positionV relativeFrom="page">
                <wp:posOffset>978535</wp:posOffset>
              </wp:positionV>
              <wp:extent cx="5943600" cy="27305"/>
              <wp:effectExtent l="0" t="635" r="0" b="0"/>
              <wp:wrapNone/>
              <wp:docPr id="34"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09">
              <wp:simplePos x="0" y="0"/>
              <wp:positionH relativeFrom="margin">
                <wp:posOffset>0</wp:posOffset>
              </wp:positionH>
              <wp:positionV relativeFrom="page">
                <wp:posOffset>978535</wp:posOffset>
              </wp:positionV>
              <wp:extent cx="5943600" cy="27305"/>
              <wp:effectExtent l="0" t="635" r="0" b="0"/>
              <wp:wrapNone/>
              <wp:docPr id="35"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w:r>
    <w:r>
      <w:rPr/>
      <w:t>LIST OF FIGURES (Cont’d)</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65">
              <wp:simplePos x="0" y="0"/>
              <wp:positionH relativeFrom="page">
                <wp:posOffset>6508115</wp:posOffset>
              </wp:positionH>
              <wp:positionV relativeFrom="paragraph">
                <wp:posOffset>76835</wp:posOffset>
              </wp:positionV>
              <wp:extent cx="538480" cy="180975"/>
              <wp:effectExtent l="0" t="0" r="0" b="0"/>
              <wp:wrapSquare wrapText="bothSides"/>
              <wp:docPr id="36" name="Frame14"/>
              <a:graphic xmlns:a="http://schemas.openxmlformats.org/drawingml/2006/main">
                <a:graphicData uri="http://schemas.microsoft.com/office/word/2010/wordprocessingShape">
                  <wps:wsp>
                    <wps:cNvSpPr txBox="1"/>
                    <wps:spPr>
                      <a:xfrm>
                        <a:off x="0" y="0"/>
                        <a:ext cx="538480" cy="180975"/>
                      </a:xfrm>
                      <a:prstGeom prst="rect"/>
                      <a:solidFill>
                        <a:srgbClr val="FFFFFF">
                          <a:alpha val="0"/>
                        </a:srgbClr>
                      </a:solidFill>
                    </wps:spPr>
                    <wps:txbx>
                      <w:txbxContent>
                        <w:p>
                          <w:pPr>
                            <w:pStyle w:val="Normal"/>
                            <w:widowControl/>
                            <w:suppressAutoHyphens w:val="true"/>
                            <w:bidi w:val="0"/>
                            <w:spacing w:lineRule="auto" w:line="288" w:before="0" w:after="320"/>
                            <w:jc w:val="both"/>
                            <w:rPr/>
                          </w:pPr>
                          <w:r>
                            <w:rPr/>
                            <w:drawing>
                              <wp:inline distT="0" distB="0" distL="0" distR="0">
                                <wp:extent cx="537845" cy="180975"/>
                                <wp:effectExtent l="0" t="0" r="0" b="0"/>
                                <wp:docPr id="3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6" descr="" title=""/>
                                        <pic:cNvPicPr>
                                          <a:picLocks noChangeAspect="1" noChangeArrowheads="1"/>
                                        </pic:cNvPicPr>
                                      </pic:nvPicPr>
                                      <pic:blipFill>
                                        <a:blip r:embed="rId1"/>
                                        <a:srcRect l="-13" t="-39" r="-13" b="-39"/>
                                        <a:stretch>
                                          <a:fillRect/>
                                        </a:stretch>
                                      </pic:blipFill>
                                      <pic:spPr bwMode="auto">
                                        <a:xfrm>
                                          <a:off x="0" y="0"/>
                                          <a:ext cx="537845" cy="1809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2.4pt;height:14.25pt;mso-wrap-distance-left:9pt;mso-wrap-distance-right:9pt;mso-wrap-distance-top:0pt;mso-wrap-distance-bottom:0pt;margin-top:6.05pt;mso-position-vertical-relative:text;margin-left:512.45pt;mso-position-horizontal-relative:page">
              <v:fill opacity="0f"/>
              <v:textbox inset="0in,0in,0in,0in">
                <w:txbxContent>
                  <w:p>
                    <w:pPr>
                      <w:pStyle w:val="Normal"/>
                      <w:widowControl/>
                      <w:suppressAutoHyphens w:val="true"/>
                      <w:bidi w:val="0"/>
                      <w:spacing w:lineRule="auto" w:line="288" w:before="0" w:after="320"/>
                      <w:jc w:val="both"/>
                      <w:rPr/>
                    </w:pPr>
                    <w:r>
                      <w:rPr/>
                      <w:drawing>
                        <wp:inline distT="0" distB="0" distL="0" distR="0">
                          <wp:extent cx="537845" cy="180975"/>
                          <wp:effectExtent l="0" t="0" r="0" b="0"/>
                          <wp:docPr id="3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 descr="" title=""/>
                                  <pic:cNvPicPr>
                                    <a:picLocks noChangeAspect="1" noChangeArrowheads="1"/>
                                  </pic:cNvPicPr>
                                </pic:nvPicPr>
                                <pic:blipFill>
                                  <a:blip r:embed="rId2"/>
                                  <a:srcRect l="-13" t="-39" r="-13" b="-39"/>
                                  <a:stretch>
                                    <a:fillRect/>
                                  </a:stretch>
                                </pic:blipFill>
                                <pic:spPr bwMode="auto">
                                  <a:xfrm>
                                    <a:off x="0" y="0"/>
                                    <a:ext cx="537845" cy="180975"/>
                                  </a:xfrm>
                                  <a:prstGeom prst="rect">
                                    <a:avLst/>
                                  </a:prstGeom>
                                  <a:noFill/>
                                </pic:spPr>
                              </pic:pic>
                            </a:graphicData>
                          </a:graphic>
                        </wp:inline>
                      </w:drawing>
                    </w:r>
                  </w:p>
                </w:txbxContent>
              </v:textbox>
              <w10:wrap type="square"/>
            </v:rect>
          </w:pict>
        </mc:Fallback>
      </mc:AlternateContent>
    </w:r>
  </w:p>
  <w:p>
    <w:pPr>
      <w:pStyle w:val="Header"/>
      <w:rPr/>
    </w:pPr>
    <w:r>
      <w:rPr/>
    </w:r>
  </w:p>
  <w:p>
    <w:pPr>
      <w:pStyle w:val="Header"/>
      <w:rPr>
        <w:rFonts w:ascii="Times New Roman" w:hAnsi="Times New Roman" w:cs="Times New Roman"/>
        <w:sz w:val="20"/>
        <w:lang w:val="en-CA"/>
      </w:rPr>
    </w:pPr>
    <w:r>
      <w:rPr>
        <w:rFonts w:cs="Times New Roman" w:ascii="Times New Roman" w:hAnsi="Times New Roman"/>
        <w:sz w:val="20"/>
        <w:lang w:val="en-CA"/>
      </w:rPr>
      <mc:AlternateContent>
        <mc:Choice Requires="wps">
          <w:drawing>
            <wp:anchor behindDoc="1" distT="0" distB="0" distL="114935" distR="114935" simplePos="0" locked="0" layoutInCell="0" allowOverlap="1" relativeHeight="110">
              <wp:simplePos x="0" y="0"/>
              <wp:positionH relativeFrom="margin">
                <wp:posOffset>0</wp:posOffset>
              </wp:positionH>
              <wp:positionV relativeFrom="page">
                <wp:posOffset>978535</wp:posOffset>
              </wp:positionV>
              <wp:extent cx="5943600" cy="27305"/>
              <wp:effectExtent l="0" t="635" r="0" b="0"/>
              <wp:wrapNone/>
              <wp:docPr id="39" name=""/>
              <a:graphic xmlns:a="http://schemas.openxmlformats.org/drawingml/2006/main">
                <a:graphicData uri="http://schemas.microsoft.com/office/word/2010/wordprocessingShape">
                  <wps:wsp>
                    <wps:cNvSpPr/>
                    <wps:spPr>
                      <a:xfrm>
                        <a:off x="0" y="0"/>
                        <a:ext cx="5943600" cy="27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77.05pt;width:467.95pt;height:2.1pt;mso-wrap-style:none;v-text-anchor:middle;mso-position-horizontal-relative:margin;mso-position-vertical-relative:page">
              <v:fill o:detectmouseclick="t" type="solid" color2="white"/>
              <v:stroke color="#3465a4" joinstyle="round"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0  "/>
      <w:lvlJc w:val="start"/>
      <w:pPr>
        <w:tabs>
          <w:tab w:val="num" w:pos="0"/>
        </w:tabs>
        <w:ind w:start="0" w:hanging="0"/>
      </w:pPr>
    </w:lvl>
    <w:lvl w:ilvl="1">
      <w:start w:val="1"/>
      <w:pStyle w:val="Heading2"/>
      <w:numFmt w:val="decimal"/>
      <w:lvlText w:val="%1.%2"/>
      <w:lvlJc w:val="start"/>
      <w:pPr>
        <w:tabs>
          <w:tab w:val="num" w:pos="720"/>
        </w:tabs>
        <w:ind w:start="720" w:hanging="720"/>
      </w:pPr>
    </w:lvl>
    <w:lvl w:ilvl="2">
      <w:start w:val="1"/>
      <w:pStyle w:val="Heading3"/>
      <w:numFmt w:val="decimal"/>
      <w:lvlText w:val="%1.%2.%3"/>
      <w:lvlJc w:val="start"/>
      <w:pPr>
        <w:tabs>
          <w:tab w:val="num" w:pos="1627"/>
        </w:tabs>
        <w:ind w:start="1627" w:hanging="907"/>
      </w:pPr>
    </w:lvl>
    <w:lvl w:ilvl="3">
      <w:start w:val="1"/>
      <w:pStyle w:val="Heading4"/>
      <w:numFmt w:val="decimal"/>
      <w:lvlText w:val="%1.%2.%3.%4"/>
      <w:lvlJc w:val="start"/>
      <w:pPr>
        <w:tabs>
          <w:tab w:val="num" w:pos="2707"/>
        </w:tabs>
        <w:ind w:start="2707" w:hanging="1080"/>
      </w:pPr>
    </w:lvl>
    <w:lvl w:ilvl="4">
      <w:start w:val="1"/>
      <w:numFmt w:val="decimal"/>
      <w:lvlText w:val="%1.%2.%3.%4.%5"/>
      <w:lvlJc w:val="start"/>
      <w:pPr>
        <w:tabs>
          <w:tab w:val="num" w:pos="1080"/>
        </w:tabs>
        <w:ind w:start="0" w:hanging="0"/>
      </w:pPr>
      <w:rPr>
        <w:sz w:val="21"/>
        <w:i w:val="false"/>
        <w:b/>
        <w:rFonts w:ascii="Arial" w:hAnsi="Arial" w:cs="Arial"/>
      </w:rPr>
    </w:lvl>
    <w:lvl w:ilvl="5">
      <w:start w:val="1"/>
      <w:numFmt w:val="decimal"/>
      <w:lvlText w:val="%1.%2.%3.%4.%5.%6"/>
      <w:lvlJc w:val="start"/>
      <w:pPr>
        <w:tabs>
          <w:tab w:val="num" w:pos="1080"/>
        </w:tabs>
        <w:ind w:start="0" w:hanging="0"/>
      </w:pPr>
      <w:rPr>
        <w:sz w:val="21"/>
        <w:i w:val="false"/>
        <w:b/>
        <w:rFonts w:ascii="Arial" w:hAnsi="Arial" w:cs="Arial"/>
      </w:r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0"/>
      <w:numFmt w:val="decimal"/>
      <w:lvlText w:val="%9"/>
      <w:lvlJc w:val="start"/>
      <w:pPr>
        <w:tabs>
          <w:tab w:val="num" w:pos="0"/>
        </w:tabs>
        <w:ind w:start="0" w:hanging="0"/>
      </w:pPr>
      <w:rPr>
        <w:rFonts w:ascii="Times New Roman" w:hAnsi="Times New Roman" w:cs="Times New Roman"/>
      </w:rPr>
    </w:lvl>
  </w:abstractNum>
  <w:abstractNum w:abstractNumId="2">
    <w:lvl w:ilvl="0">
      <w:start w:val="1"/>
      <w:numFmt w:val="decimal"/>
      <w:lvlText w:val="Figure %1"/>
      <w:lvlJc w:val="start"/>
      <w:pPr>
        <w:tabs>
          <w:tab w:val="num" w:pos="1080"/>
        </w:tabs>
        <w:ind w:start="360" w:hanging="360"/>
      </w:pPr>
      <w:rPr>
        <w:rFonts w:ascii="Arial" w:hAnsi="Arial" w:cs="Arial"/>
      </w:rPr>
    </w:lvl>
  </w:abstractNum>
  <w:abstractNum w:abstractNumId="3">
    <w:lvl w:ilvl="0">
      <w:start w:val="1"/>
      <w:numFmt w:val="bullet"/>
      <w:lvlText w:val=""/>
      <w:lvlJc w:val="start"/>
      <w:pPr>
        <w:tabs>
          <w:tab w:val="num" w:pos="360"/>
        </w:tabs>
        <w:ind w:start="360" w:hanging="360"/>
      </w:pPr>
      <w:rPr>
        <w:rFonts w:ascii="Symbol" w:hAnsi="Symbol" w:cs="Symbol" w:hint="default"/>
        <w:sz w:val="18"/>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upperLetter"/>
      <w:lvlText w:val="%1."/>
      <w:lvlJc w:val="start"/>
      <w:pPr>
        <w:tabs>
          <w:tab w:val="num" w:pos="870"/>
        </w:tabs>
        <w:ind w:start="870" w:hanging="420"/>
      </w:pPr>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 w:val="left" w:pos="9072" w:leader="none"/>
      </w:tabs>
      <w:suppressAutoHyphens w:val="true"/>
      <w:bidi w:val="0"/>
      <w:spacing w:lineRule="auto" w:line="288" w:before="0" w:after="320"/>
      <w:jc w:val="both"/>
    </w:pPr>
    <w:rPr>
      <w:rFonts w:ascii="Arial" w:hAnsi="Arial" w:eastAsia="Times New Roman" w:cs="Arial"/>
      <w:color w:val="auto"/>
      <w:spacing w:val="-2"/>
      <w:sz w:val="21"/>
      <w:szCs w:val="20"/>
      <w:lang w:val="en-US" w:bidi="ar-SA" w:eastAsia="zh-CN"/>
    </w:rPr>
  </w:style>
  <w:style w:type="paragraph" w:styleId="Heading1">
    <w:name w:val="heading 1"/>
    <w:basedOn w:val="Normal"/>
    <w:next w:val="Normal"/>
    <w:qFormat/>
    <w:pPr>
      <w:numPr>
        <w:ilvl w:val="0"/>
        <w:numId w:val="1"/>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spacing w:before="360" w:after="240"/>
      <w:jc w:val="center"/>
      <w:outlineLvl w:val="0"/>
    </w:pPr>
    <w:rPr>
      <w:b/>
      <w:caps/>
      <w:sz w:val="24"/>
    </w:rPr>
  </w:style>
  <w:style w:type="paragraph" w:styleId="Heading2">
    <w:name w:val="heading 2"/>
    <w:basedOn w:val="Normal"/>
    <w:next w:val="Normal"/>
    <w:qFormat/>
    <w:pPr>
      <w:keepNext w:val="true"/>
      <w:numPr>
        <w:ilvl w:val="1"/>
        <w:numId w:val="1"/>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spacing w:before="240" w:after="120"/>
      <w:outlineLvl w:val="1"/>
    </w:pPr>
    <w:rPr>
      <w:b/>
    </w:rPr>
  </w:style>
  <w:style w:type="paragraph" w:styleId="Heading3">
    <w:name w:val="heading 3"/>
    <w:basedOn w:val="Normal"/>
    <w:next w:val="Normal"/>
    <w:qFormat/>
    <w:pPr>
      <w:keepNext w:val="true"/>
      <w:numPr>
        <w:ilvl w:val="2"/>
        <w:numId w:val="1"/>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spacing w:before="240" w:after="120"/>
      <w:outlineLvl w:val="2"/>
    </w:pPr>
    <w:rPr>
      <w:b/>
    </w:rPr>
  </w:style>
  <w:style w:type="paragraph" w:styleId="Heading4">
    <w:name w:val="heading 4"/>
    <w:basedOn w:val="Normal"/>
    <w:next w:val="Normal"/>
    <w:qFormat/>
    <w:pPr>
      <w:keepNext w:val="true"/>
      <w:numPr>
        <w:ilvl w:val="3"/>
        <w:numId w:val="1"/>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outlineLvl w:val="3"/>
    </w:pPr>
    <w:rPr>
      <w:b/>
    </w:rPr>
  </w:style>
  <w:style w:type="paragraph" w:styleId="Heading5">
    <w:name w:val="heading 5"/>
    <w:basedOn w:val="Normal"/>
    <w:next w:val="Normal"/>
    <w:qFormat/>
    <w:pPr>
      <w:keepNext w:val="true"/>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3874" w:leader="none"/>
      </w:tabs>
      <w:jc w:val="start"/>
      <w:outlineLvl w:val="4"/>
    </w:pPr>
    <w:rPr>
      <w:u w:val="single"/>
    </w:rPr>
  </w:style>
  <w:style w:type="paragraph" w:styleId="Heading6">
    <w:name w:val="heading 6"/>
    <w:basedOn w:val="Normal"/>
    <w:next w:val="Normal"/>
    <w:qFormat/>
    <w:pPr>
      <w:keepNext w:val="true"/>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5400" w:leader="none"/>
      </w:tabs>
      <w:ind w:hanging="0" w:start="720" w:end="0"/>
      <w:jc w:val="start"/>
      <w:outlineLvl w:val="5"/>
    </w:pPr>
    <w:rPr>
      <w:u w:val="single"/>
    </w:rPr>
  </w:style>
  <w:style w:type="paragraph" w:styleId="Heading7">
    <w:name w:val="heading 7"/>
    <w:basedOn w:val="Normal"/>
    <w:next w:val="Normal"/>
    <w:qFormat/>
    <w:pPr>
      <w:keepNext w:val="true"/>
      <w:tabs>
        <w:tab w:val="clear" w:pos="0"/>
        <w:tab w:val="clear" w:pos="432"/>
        <w:tab w:val="clear" w:pos="864"/>
        <w:tab w:val="clear" w:pos="1296"/>
        <w:tab w:val="clear" w:pos="1728"/>
        <w:tab w:val="clear" w:pos="2160"/>
        <w:tab w:val="clear" w:pos="259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3024" w:leader="none"/>
      </w:tabs>
      <w:ind w:hanging="0" w:start="1627" w:end="0"/>
      <w:outlineLvl w:val="6"/>
    </w:pPr>
    <w:rPr>
      <w:u w:val="single"/>
    </w:rPr>
  </w:style>
  <w:style w:type="paragraph" w:styleId="Heading8">
    <w:name w:val="heading 8"/>
    <w:basedOn w:val="Normal"/>
    <w:next w:val="Normal"/>
    <w:qFormat/>
    <w:pPr>
      <w:keepNext w:val="true"/>
      <w:tabs>
        <w:tab w:val="clear" w:pos="0"/>
        <w:tab w:val="clear" w:pos="432"/>
        <w:tab w:val="clear" w:pos="864"/>
        <w:tab w:val="clear" w:pos="1296"/>
        <w:tab w:val="clear" w:pos="1728"/>
        <w:tab w:val="clear" w:pos="2160"/>
        <w:tab w:val="clear" w:pos="259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3024" w:leader="none"/>
      </w:tabs>
      <w:ind w:hanging="0" w:start="2347" w:end="0"/>
      <w:jc w:val="start"/>
      <w:outlineLvl w:val="7"/>
    </w:pPr>
    <w:rPr>
      <w:u w:val="single"/>
    </w:rPr>
  </w:style>
  <w:style w:type="paragraph" w:styleId="Heading9">
    <w:name w:val="heading 9"/>
    <w:basedOn w:val="Normal"/>
    <w:next w:val="Normal"/>
    <w:qFormat/>
    <w:pPr>
      <w:keepNext w:val="true"/>
      <w:tabs>
        <w:tab w:val="clear" w:pos="0"/>
        <w:tab w:val="clear" w:pos="432"/>
        <w:tab w:val="clear" w:pos="864"/>
        <w:tab w:val="clear" w:pos="1296"/>
        <w:tab w:val="clear" w:pos="1728"/>
        <w:tab w:val="clear" w:pos="2160"/>
        <w:tab w:val="clear" w:pos="259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3024" w:leader="none"/>
      </w:tabs>
      <w:ind w:hanging="0" w:start="3067" w:end="0"/>
      <w:jc w:val="start"/>
      <w:outlineLvl w:val="8"/>
    </w:pPr>
    <w:rPr>
      <w:u w:val="single"/>
    </w:rPr>
  </w:style>
  <w:style w:type="character" w:styleId="WW8Num1z4">
    <w:name w:val="WW8Num1z4"/>
    <w:qFormat/>
    <w:rPr>
      <w:rFonts w:ascii="Arial" w:hAnsi="Arial" w:cs="Arial"/>
      <w:b/>
      <w:i w:val="false"/>
      <w:sz w:val="21"/>
    </w:rPr>
  </w:style>
  <w:style w:type="character" w:styleId="WW8Num1z8">
    <w:name w:val="WW8Num1z8"/>
    <w:qFormat/>
    <w:rPr>
      <w:rFonts w:ascii="Times New Roman" w:hAnsi="Times New Roman" w:cs="Times New Roman"/>
    </w:rPr>
  </w:style>
  <w:style w:type="character" w:styleId="WW8Num3z0">
    <w:name w:val="WW8Num3z0"/>
    <w:qFormat/>
    <w:rPr>
      <w:rFonts w:ascii="Arial" w:hAnsi="Arial" w:cs="Arial"/>
    </w:rPr>
  </w:style>
  <w:style w:type="character" w:styleId="WW8Num5z0">
    <w:name w:val="WW8Num5z0"/>
    <w:qFormat/>
    <w:rPr>
      <w:rFonts w:ascii="Arial" w:hAnsi="Arial" w:cs="Arial"/>
    </w:rPr>
  </w:style>
  <w:style w:type="character" w:styleId="WW8Num6z0">
    <w:name w:val="WW8Num6z0"/>
    <w:qFormat/>
    <w:rPr>
      <w:rFonts w:ascii="Symbol" w:hAnsi="Symbol" w:cs="Symbol"/>
    </w:rPr>
  </w:style>
  <w:style w:type="character" w:styleId="WW8Num7z0">
    <w:name w:val="WW8Num7z0"/>
    <w:qFormat/>
    <w:rPr>
      <w:rFonts w:ascii="Symbol" w:hAnsi="Symbol" w:cs="Symbol"/>
      <w:sz w:val="18"/>
    </w:rPr>
  </w:style>
  <w:style w:type="character" w:styleId="WW8Num8z0">
    <w:name w:val="WW8Num8z0"/>
    <w:qFormat/>
    <w:rPr>
      <w:rFonts w:ascii="Symbol" w:hAnsi="Symbol" w:cs="Symbol"/>
    </w:rPr>
  </w:style>
  <w:style w:type="character" w:styleId="WW8Num9z0">
    <w:name w:val="WW8Num9z0"/>
    <w:qFormat/>
    <w:rPr>
      <w:rFonts w:ascii="Arial" w:hAnsi="Arial" w:cs="Arial"/>
    </w:rPr>
  </w:style>
  <w:style w:type="character" w:styleId="WW8Num10z0">
    <w:name w:val="WW8Num10z0"/>
    <w:qFormat/>
    <w:rPr/>
  </w:style>
  <w:style w:type="character" w:styleId="WW8Num11z0">
    <w:name w:val="WW8Num11z0"/>
    <w:qFormat/>
    <w:rPr>
      <w:rFonts w:ascii="Symbol" w:hAnsi="Symbol" w:cs="Symbol"/>
      <w:sz w:val="18"/>
    </w:rPr>
  </w:style>
  <w:style w:type="character" w:styleId="WW8Num12z0">
    <w:name w:val="WW8Num12z0"/>
    <w:qFormat/>
    <w:rPr>
      <w:rFonts w:ascii="Symbol" w:hAnsi="Symbol" w:cs="Symbol"/>
    </w:rPr>
  </w:style>
  <w:style w:type="character" w:styleId="WW8Num13z0">
    <w:name w:val="WW8Num13z0"/>
    <w:qFormat/>
    <w:rPr>
      <w:rFonts w:ascii="Arial" w:hAnsi="Arial" w:cs="Aria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sz w:val="18"/>
    </w:rPr>
  </w:style>
  <w:style w:type="character" w:styleId="WW8Num18z0">
    <w:name w:val="WW8Num18z0"/>
    <w:qFormat/>
    <w:rPr>
      <w:rFonts w:ascii="Symbol" w:hAnsi="Symbol" w:cs="Symbol"/>
      <w:sz w:val="18"/>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sz w:val="18"/>
    </w:rPr>
  </w:style>
  <w:style w:type="character" w:styleId="WW8Num23z0">
    <w:name w:val="WW8Num23z0"/>
    <w:qFormat/>
    <w:rPr>
      <w:rFonts w:ascii="Symbol" w:hAnsi="Symbol" w:cs="Symbol"/>
    </w:rPr>
  </w:style>
  <w:style w:type="character" w:styleId="WW8NumSt9z0">
    <w:name w:val="WW8NumSt9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Normal"/>
    <w:qFormat/>
    <w:pPr>
      <w:jc w:val="center"/>
    </w:pPr>
    <w:rPr>
      <w:b/>
      <w:sz w:val="24"/>
    </w:rPr>
  </w:style>
  <w:style w:type="paragraph" w:styleId="BodyText">
    <w:name w:val="Body Text"/>
    <w:basedOn w:val="Normal"/>
    <w:pPr>
      <w:tabs>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68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 w:val="left" w:pos="9072" w:leader="none"/>
        <w:tab w:val="right" w:pos="9620" w:leader="none"/>
      </w:tabs>
    </w:pPr>
    <w:rPr>
      <w:color w:val="000000"/>
    </w:rPr>
  </w:style>
  <w:style w:type="paragraph" w:styleId="List">
    <w:name w:val="List"/>
    <w:basedOn w:val="BodyText"/>
    <w:pPr/>
    <w:rPr>
      <w:rFonts w:cs="NotoSans NF"/>
    </w:rPr>
  </w:style>
  <w:style w:type="paragraph" w:styleId="Caption">
    <w:name w:val="caption"/>
    <w:basedOn w:val="Normal"/>
    <w:next w:val="Normal"/>
    <w:qFormat/>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1080" w:leader="none"/>
      </w:tabs>
      <w:spacing w:before="0" w:after="200"/>
      <w:ind w:hanging="1080" w:start="1080" w:end="0"/>
      <w:jc w:val="start"/>
    </w:pPr>
    <w:rPr>
      <w:b/>
      <w:sz w:val="20"/>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spacing w:before="0" w:after="200"/>
      <w:ind w:hanging="130" w:start="130" w:end="0"/>
    </w:pPr>
    <w:rPr>
      <w:sz w:val="18"/>
    </w:rPr>
  </w:style>
  <w:style w:type="paragraph" w:styleId="TOC1">
    <w:name w:val="toc 1"/>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dot"/>
      </w:tabs>
      <w:spacing w:before="400" w:after="0"/>
      <w:jc w:val="start"/>
    </w:pPr>
    <w:rPr>
      <w:b/>
      <w:caps/>
      <w:lang w:val="en-CA" w:eastAsia="en-CA"/>
    </w:rPr>
  </w:style>
  <w:style w:type="paragraph" w:styleId="TOC2">
    <w:name w:val="toc 2"/>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907" w:leader="none"/>
        <w:tab w:val="right" w:pos="9360" w:leader="dot"/>
      </w:tabs>
      <w:spacing w:before="200" w:after="0"/>
      <w:ind w:hanging="446" w:start="892" w:end="0"/>
      <w:jc w:val="start"/>
    </w:pPr>
    <w:rPr>
      <w:lang w:val="en-CA" w:eastAsia="en-CA"/>
    </w:rPr>
  </w:style>
  <w:style w:type="paragraph" w:styleId="TOC3">
    <w:name w:val="toc 3"/>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1526" w:leader="none"/>
        <w:tab w:val="right" w:pos="9360" w:leader="dot"/>
      </w:tabs>
      <w:spacing w:before="40" w:after="0"/>
      <w:ind w:hanging="634" w:start="1541" w:end="0"/>
      <w:jc w:val="start"/>
    </w:pPr>
    <w:rPr>
      <w:lang w:val="en-CA" w:eastAsia="en-CA"/>
    </w:rPr>
  </w:style>
  <w:style w:type="paragraph" w:styleId="TOC4">
    <w:name w:val="toc 4"/>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2434" w:leader="none"/>
        <w:tab w:val="right" w:pos="9360" w:leader="dot"/>
      </w:tabs>
      <w:ind w:hanging="0" w:start="1526" w:end="0"/>
      <w:jc w:val="start"/>
    </w:pPr>
    <w:rPr/>
  </w:style>
  <w:style w:type="paragraph" w:styleId="TOC5">
    <w:name w:val="toc 5"/>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3514" w:leader="none"/>
        <w:tab w:val="right" w:pos="9360" w:leader="dot"/>
      </w:tabs>
      <w:ind w:hanging="0" w:start="2434" w:end="0"/>
      <w:jc w:val="start"/>
    </w:pPr>
    <w:rPr/>
  </w:style>
  <w:style w:type="paragraph" w:styleId="TOC6">
    <w:name w:val="toc 6"/>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4766" w:leader="none"/>
        <w:tab w:val="right" w:pos="9360" w:leader="dot"/>
      </w:tabs>
      <w:ind w:hanging="0" w:start="3514" w:end="0"/>
      <w:jc w:val="start"/>
    </w:pPr>
    <w:rPr/>
  </w:style>
  <w:style w:type="paragraph" w:styleId="TOAHeading">
    <w:name w:val="TOA Heading"/>
    <w:basedOn w:val="Normal"/>
    <w:next w:val="Normal"/>
    <w:qFormat/>
    <w:pPr>
      <w:tabs>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 w:val="left" w:pos="9072" w:leader="none"/>
        <w:tab w:val="right" w:pos="9360" w:leader="none"/>
      </w:tabs>
      <w:suppressAutoHyphens w:val="true"/>
    </w:pPr>
    <w:rPr/>
  </w:style>
  <w:style w:type="paragraph" w:styleId="HeaderandFooter">
    <w:name w:val="Header and Footer"/>
    <w:basedOn w:val="Normal"/>
    <w:qFormat/>
    <w:pPr>
      <w:suppressLineNumber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center" w:pos="4986" w:leader="none"/>
        <w:tab w:val="right" w:pos="9972" w:leader="none"/>
      </w:tabs>
    </w:pPr>
    <w:rPr/>
  </w:style>
  <w:style w:type="paragraph" w:styleId="Header">
    <w:name w:val="header"/>
    <w:basedOn w:val="Normal"/>
    <w:pPr>
      <w:tabs>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center"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right" w:pos="8640" w:leader="none"/>
        <w:tab w:val="left" w:pos="9072" w:leader="none"/>
      </w:tabs>
      <w:spacing w:before="0" w:after="0"/>
    </w:pPr>
    <w:rPr/>
  </w:style>
  <w:style w:type="paragraph" w:styleId="Footer">
    <w:name w:val="footer"/>
    <w:basedOn w:val="Normal"/>
    <w:pPr>
      <w:tabs>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center"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right" w:pos="8640" w:leader="none"/>
        <w:tab w:val="left" w:pos="9072" w:leader="none"/>
      </w:tabs>
    </w:pPr>
    <w:rPr/>
  </w:style>
  <w:style w:type="paragraph" w:styleId="BodyText3">
    <w:name w:val="Body Text 3"/>
    <w:basedOn w:val="Normal"/>
    <w:qFormat/>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0" w:leader="none"/>
      </w:tabs>
      <w:spacing w:before="0" w:after="0"/>
    </w:pPr>
    <w:rPr>
      <w:color w:val="000000"/>
    </w:rPr>
  </w:style>
  <w:style w:type="paragraph" w:styleId="Bullet">
    <w:name w:val="Bullet"/>
    <w:basedOn w:val="Normal"/>
    <w:qFormat/>
    <w:pPr>
      <w:numPr>
        <w:ilvl w:val="0"/>
        <w:numId w:val="4"/>
      </w:numPr>
      <w:tabs>
        <w:tab w:val="clear" w:pos="864"/>
        <w:tab w:val="left" w:pos="0" w:leader="none"/>
        <w:tab w:val="left" w:pos="432" w:leader="none"/>
        <w:tab w:val="left" w:pos="990"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 w:val="left" w:pos="9072" w:leader="none"/>
      </w:tabs>
      <w:spacing w:before="0" w:after="160"/>
      <w:ind w:hanging="446" w:start="993" w:end="0"/>
    </w:pPr>
    <w:rPr/>
  </w:style>
  <w:style w:type="paragraph" w:styleId="TOC7">
    <w:name w:val="toc 7"/>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dot"/>
      </w:tabs>
      <w:ind w:hanging="0" w:start="1320" w:end="0"/>
    </w:pPr>
    <w:rPr/>
  </w:style>
  <w:style w:type="paragraph" w:styleId="TOC8">
    <w:name w:val="toc 8"/>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dot"/>
      </w:tabs>
      <w:ind w:hanging="0" w:start="1540" w:end="0"/>
    </w:pPr>
    <w:rPr/>
  </w:style>
  <w:style w:type="paragraph" w:styleId="TOC9">
    <w:name w:val="toc 9"/>
    <w:basedOn w:val="Normal"/>
    <w:next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right" w:pos="9360" w:leader="dot"/>
      </w:tabs>
      <w:ind w:hanging="0" w:start="1760" w:end="0"/>
    </w:pPr>
    <w:rPr/>
  </w:style>
  <w:style w:type="paragraph" w:styleId="BulletSub">
    <w:name w:val="Bullet/Sub"/>
    <w:basedOn w:val="Normal"/>
    <w:qFormat/>
    <w:pPr>
      <w:numPr>
        <w:ilvl w:val="0"/>
        <w:numId w:val="7"/>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994" w:leader="none"/>
        <w:tab w:val="left" w:pos="1440" w:leader="none"/>
      </w:tabs>
      <w:ind w:hanging="446" w:start="1440" w:end="0"/>
    </w:pPr>
    <w:rPr/>
  </w:style>
  <w:style w:type="paragraph" w:styleId="BulletLast">
    <w:name w:val="BulletLast"/>
    <w:basedOn w:val="Bullet"/>
    <w:qFormat/>
    <w:pPr>
      <w:numPr>
        <w:ilvl w:val="0"/>
        <w:numId w:val="4"/>
      </w:numPr>
      <w:spacing w:before="0" w:after="320"/>
      <w:ind w:hanging="446" w:start="993" w:end="0"/>
    </w:pPr>
    <w:rPr/>
  </w:style>
  <w:style w:type="paragraph" w:styleId="TableofFigures">
    <w:name w:val="Table of Figures"/>
    <w:basedOn w:val="Normal"/>
    <w:next w:val="Normal"/>
    <w:qFormat/>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1267" w:leader="none"/>
        <w:tab w:val="right" w:pos="9350" w:leader="dot"/>
      </w:tabs>
      <w:spacing w:before="0" w:after="120"/>
      <w:ind w:hanging="1267" w:start="1267" w:end="0"/>
      <w:jc w:val="start"/>
    </w:pPr>
    <w:rPr>
      <w:lang w:val="en-CA" w:eastAsia="en-CA"/>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suppressAutoHyphens w:val="false"/>
      <w:spacing w:lineRule="auto" w:line="264" w:before="180" w:after="120"/>
      <w:ind w:hanging="0" w:start="58" w:end="0"/>
    </w:pPr>
    <w:rPr>
      <w:spacing w:val="0"/>
      <w:sz w:val="20"/>
    </w:rPr>
  </w:style>
  <w:style w:type="paragraph" w:styleId="BodyTextIndent1">
    <w:name w:val="Body Text Indent1"/>
    <w:basedOn w:val="BodyTextIndent"/>
    <w:next w:val="BodyTextIndent"/>
    <w:qFormat/>
    <w:pPr>
      <w:ind w:hanging="58" w:start="58"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2000-12-21T15:38:00Z</dcterms:created>
  <dc:creator>End User</dc:creator>
  <dc:description/>
  <dc:language>en-CA</dc:language>
  <cp:lastModifiedBy>ensr user</cp:lastModifiedBy>
  <cp:lastPrinted>2000-12-21T17:11:00Z</cp:lastPrinted>
  <dcterms:modified xsi:type="dcterms:W3CDTF">2000-12-21T19:41:00Z</dcterms:modified>
  <cp:revision>3</cp:revision>
  <dc:subject/>
  <dc:title>Report Template</dc:title>
</cp:coreProperties>
</file>