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280" w:type="dxa"/>
        <w:jc w:val="start"/>
        <w:tblInd w:w="0" w:type="dxa"/>
        <w:tblLayout w:type="fixed"/>
        <w:tblCellMar>
          <w:top w:w="0" w:type="dxa"/>
          <w:start w:w="108" w:type="dxa"/>
          <w:bottom w:w="0" w:type="dxa"/>
          <w:end w:w="108" w:type="dxa"/>
        </w:tblCellMar>
      </w:tblPr>
      <w:tblGrid>
        <w:gridCol w:w="1278"/>
        <w:gridCol w:w="4230"/>
        <w:gridCol w:w="4230"/>
        <w:gridCol w:w="1771"/>
        <w:gridCol w:w="1771"/>
      </w:tblGrid>
      <w:tr>
        <w:trPr>
          <w:tblHeader w:val="true"/>
          <w:trHeight w:val="260" w:hRule="atLeast"/>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Party</w:t>
            </w:r>
          </w:p>
        </w:tc>
        <w:tc>
          <w:tcPr>
            <w:tcW w:w="42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 xml:space="preserve">Ownership and Control  </w:t>
            </w:r>
          </w:p>
        </w:tc>
        <w:tc>
          <w:tcPr>
            <w:tcW w:w="423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Wheeling / Sale of output</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Net Metering</w:t>
            </w:r>
          </w:p>
        </w:tc>
        <w:tc>
          <w:tcPr>
            <w:tcW w:w="1771" w:type="dxa"/>
            <w:tcBorders>
              <w:top w:val="single" w:sz="4" w:space="0" w:color="000000"/>
              <w:start w:val="single" w:sz="4" w:space="0" w:color="000000"/>
              <w:bottom w:val="single" w:sz="4" w:space="0" w:color="000000"/>
              <w:end w:val="single" w:sz="4" w:space="0" w:color="000000"/>
            </w:tcBorders>
          </w:tcPr>
          <w:p>
            <w:pPr>
              <w:pStyle w:val="Normal"/>
              <w:rPr>
                <w:b/>
              </w:rPr>
            </w:pPr>
            <w:r>
              <w:rPr>
                <w:b/>
              </w:rPr>
              <w:t>Valuation</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rPr>
                <w:b/>
              </w:rPr>
            </w:pPr>
            <w:r>
              <w:rPr>
                <w:b/>
              </w:rPr>
              <w:t>SDG&amp;E</w:t>
            </w:r>
          </w:p>
          <w:p>
            <w:pPr>
              <w:pStyle w:val="Normal"/>
              <w:rPr>
                <w:b/>
              </w:rPr>
            </w:pPr>
            <w:r>
              <w:rPr>
                <w:b/>
              </w:rPr>
            </w:r>
          </w:p>
          <w:p>
            <w:pPr>
              <w:pStyle w:val="Normal"/>
              <w:rPr>
                <w:b/>
              </w:rPr>
            </w:pPr>
            <w:r>
              <w:rPr>
                <w:b/>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Customer side ownership:</w:t>
            </w:r>
            <w:r>
              <w:rPr/>
              <w:t xml:space="preserve"> The UDC does not need to own DG on the customer’s side of the meter.</w:t>
            </w:r>
            <w:r>
              <w:rPr>
                <w:b/>
              </w:rPr>
              <w:t xml:space="preserve"> </w:t>
            </w:r>
          </w:p>
          <w:p>
            <w:pPr>
              <w:pStyle w:val="Normal"/>
              <w:rPr/>
            </w:pPr>
            <w:r>
              <w:rPr>
                <w:b/>
              </w:rPr>
              <w:t xml:space="preserve">Grid-side Ownership: </w:t>
            </w:r>
            <w:r>
              <w:rPr/>
              <w:t>The UDC only needs to own DG on the grid side if the generator is portable unit used to provide operational on a temporary and short term basis for emergency purposes to maintain delivery service, to support load growth that wasn’t anticipated.</w:t>
            </w:r>
          </w:p>
          <w:p>
            <w:pPr>
              <w:pStyle w:val="Normal"/>
              <w:rPr/>
            </w:pPr>
            <w:r>
              <w:rPr>
                <w:b/>
              </w:rPr>
              <w:t xml:space="preserve">Treatment of UDC owned DG –Generation: </w:t>
            </w:r>
            <w:r>
              <w:rPr/>
              <w:t>SDG&amp;E does not want to market the output of DG. The output would not be sold but flowed into the system as negative “Unaccounted for energy”.</w:t>
            </w:r>
          </w:p>
          <w:p>
            <w:pPr>
              <w:pStyle w:val="Normal"/>
              <w:rPr/>
            </w:pPr>
            <w:r>
              <w:rPr/>
            </w:r>
          </w:p>
          <w:p>
            <w:pPr>
              <w:pStyle w:val="Normal"/>
              <w:rPr/>
            </w:pPr>
            <w:r>
              <w:rPr/>
              <w:t>The commission should not entertain BRPU- type proposals.</w:t>
            </w:r>
          </w:p>
          <w:p>
            <w:pPr>
              <w:pStyle w:val="Normal"/>
              <w:rPr/>
            </w:pPr>
            <w:r>
              <w:rPr/>
            </w:r>
          </w:p>
          <w:p>
            <w:pPr>
              <w:pStyle w:val="Normal"/>
              <w:rPr/>
            </w:pPr>
            <w:r>
              <w:rPr/>
            </w:r>
          </w:p>
          <w:p>
            <w:pPr>
              <w:pStyle w:val="Normal"/>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BodyTextIndent"/>
              <w:ind w:firstLine="18" w:start="-18" w:end="0"/>
              <w:rPr/>
            </w:pPr>
            <w:r>
              <w:rPr>
                <w:rFonts w:cs="Times New Roman" w:ascii="Times New Roman" w:hAnsi="Times New Roman"/>
                <w:b/>
                <w:sz w:val="20"/>
              </w:rPr>
              <w:t xml:space="preserve">Section 216: </w:t>
            </w:r>
            <w:r>
              <w:rPr>
                <w:rFonts w:cs="Times New Roman" w:ascii="Times New Roman" w:hAnsi="Times New Roman"/>
                <w:sz w:val="20"/>
              </w:rPr>
              <w:t xml:space="preserve">SDG&amp;E stays silent on whether or not distributed generator might be viewed as a “public utility” and on the scope of the CPUC’s jurisdiction over DG transactions. </w:t>
            </w:r>
          </w:p>
          <w:p>
            <w:pPr>
              <w:pStyle w:val="BodyTextIndent"/>
              <w:ind w:firstLine="18" w:start="-18" w:end="0"/>
              <w:rPr>
                <w:rFonts w:ascii="Times New Roman" w:hAnsi="Times New Roman" w:cs="Times New Roman"/>
                <w:b/>
                <w:sz w:val="20"/>
              </w:rPr>
            </w:pPr>
            <w:r>
              <w:rPr>
                <w:rFonts w:cs="Times New Roman" w:ascii="Times New Roman" w:hAnsi="Times New Roman"/>
                <w:b/>
                <w:sz w:val="20"/>
              </w:rPr>
              <w:t>Market Power:</w:t>
            </w:r>
            <w:r>
              <w:rPr>
                <w:rFonts w:cs="Times New Roman" w:ascii="Times New Roman" w:hAnsi="Times New Roman"/>
                <w:sz w:val="20"/>
              </w:rPr>
              <w:t xml:space="preserve"> Whether a distributed generator may have “market power” is a case specific question that is integrally tied to the ISO’s assessment of market power issues. </w:t>
            </w:r>
          </w:p>
          <w:p>
            <w:pPr>
              <w:pStyle w:val="Normal"/>
              <w:rPr/>
            </w:pPr>
            <w:r>
              <w:rPr>
                <w:b/>
              </w:rPr>
              <w:t>Distribution only tariffs:</w:t>
            </w:r>
            <w:r>
              <w:rPr/>
              <w:t xml:space="preserve"> SDG&amp;E has a Wholesale Distribution Tariff on file with and approved by the FERC. </w:t>
            </w:r>
            <w:r>
              <w:rPr>
                <w:lang w:eastAsia="en-US"/>
              </w:rPr>
              <w:t xml:space="preserve">Thus, SDG&amp;E already has a FERC-filed tariff that addresses the issue the CPUC has raised.  Under that tariff, distributed generators have non-discriminatory and comparable access to the grid, as contemplated by AB 1890. UDCs and the ISO took the position that such wholesale distribution-only service cannot be shown to be desirable or feasible as it would unjustly permit a customer to "free ride" or avoid responsibility for its share of the costs associated with the construction, maintenance, and operation of the ISO Controlled Grid, without which the transaction on the distribution system would not be possible. </w:t>
            </w:r>
            <w:r>
              <w:rPr>
                <w:b/>
                <w:lang w:eastAsia="en-US"/>
              </w:rPr>
              <w:t xml:space="preserve">Jurisdiction: </w:t>
            </w:r>
            <w:r>
              <w:rPr>
                <w:lang w:eastAsia="en-US"/>
              </w:rPr>
              <w:t xml:space="preserve">SDG&amp;E does not address whether the FERC or the Commission has jurisdiction over transactions involving the sale of excess DG capacity transmitted over the distribution system.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Net metering is contrary to the State’s effort in having consumers respond price signals. The commission should not expand its use.</w:t>
            </w:r>
          </w:p>
        </w:tc>
        <w:tc>
          <w:tcPr>
            <w:tcW w:w="1771" w:type="dxa"/>
            <w:tcBorders>
              <w:top w:val="single" w:sz="4" w:space="0" w:color="000000"/>
              <w:start w:val="single" w:sz="4" w:space="0" w:color="000000"/>
              <w:bottom w:val="single" w:sz="4" w:space="0" w:color="000000"/>
              <w:end w:val="single" w:sz="4" w:space="0" w:color="000000"/>
            </w:tcBorders>
          </w:tcPr>
          <w:p>
            <w:pPr>
              <w:pStyle w:val="BodyTextIndent"/>
              <w:ind w:start="0" w:end="0"/>
              <w:rPr>
                <w:rFonts w:ascii="Times New Roman" w:hAnsi="Times New Roman" w:cs="Times New Roman"/>
                <w:sz w:val="20"/>
              </w:rPr>
            </w:pPr>
            <w:r>
              <w:rPr>
                <w:rFonts w:cs="Times New Roman" w:ascii="Times New Roman" w:hAnsi="Times New Roman"/>
                <w:sz w:val="20"/>
              </w:rPr>
              <w:t xml:space="preserve">PBR provides the UDC incentives to choose the correct systems upgrade. SDG&amp;E is willing to include additional PBR incentives if parties believe that these existing incentives are not strong enough. </w:t>
            </w:r>
          </w:p>
          <w:p>
            <w:pPr>
              <w:pStyle w:val="Normal"/>
              <w:rPr/>
            </w:pPr>
            <w:r>
              <w:rPr/>
              <w:t>The Commission should not consider injecting regulatory micromanagement into the utility distribution system planning process.</w:t>
            </w:r>
          </w:p>
        </w:tc>
      </w:tr>
      <w:tr>
        <w:trPr>
          <w:trHeight w:val="1691" w:hRule="atLeast"/>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SCE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Customer side: </w:t>
            </w:r>
            <w:r>
              <w:rPr/>
              <w:t xml:space="preserve">Customers should be free to own, and should be responsible for, DG applications on their side of the meter.  The distribution utility is responsible to provide open and nondiscriminatory access to the ISO transmission grid.  </w:t>
            </w:r>
          </w:p>
          <w:p>
            <w:pPr>
              <w:pStyle w:val="Normal"/>
              <w:rPr/>
            </w:pPr>
            <w:r>
              <w:rPr>
                <w:b/>
              </w:rPr>
              <w:t xml:space="preserve">Merchant DG: </w:t>
            </w:r>
            <w:r>
              <w:rPr/>
              <w:t>exists today on the distribution grid, and aside from small utility generators, it is predominately non</w:t>
              <w:noBreakHyphen/>
              <w:t>utility owned.  SCE believes it is appropriate for non-utility entities to install, own, and operate Merchant DG connected to the distribution grid where the distribution utility is responsible to provide open, non-discriminatory access to the ISO transmission grid.</w:t>
            </w:r>
          </w:p>
          <w:p>
            <w:pPr>
              <w:pStyle w:val="Heading3Text"/>
              <w:spacing w:lineRule="auto" w:line="240"/>
              <w:ind w:hanging="0" w:start="0" w:end="0"/>
              <w:rPr/>
            </w:pPr>
            <w:r>
              <w:rPr>
                <w:rFonts w:cs="Times New Roman" w:ascii="Times New Roman" w:hAnsi="Times New Roman"/>
                <w:b/>
                <w:sz w:val="20"/>
              </w:rPr>
              <w:t xml:space="preserve">Ownership: </w:t>
            </w:r>
            <w:r>
              <w:rPr>
                <w:rFonts w:cs="Times New Roman" w:ascii="Times New Roman" w:hAnsi="Times New Roman"/>
                <w:sz w:val="20"/>
              </w:rPr>
              <w:t>Distribution DG may be appropriate as part of distribution grid infrastructure, SCE sees very limited applications at this time (to provide a cost-effective substitute for investments in distribution wires facilities in order to enhance the capacity and reliability of the of electric distribution network, not the supply of market generation.)  In these limited situations the utility should have the flexibility to utilize, own and operate it. SCE’s PBR provide the right incentives for the UDC to make correct economic decisions on whether or not to build DG as a wire alternative. Non-utility ownership would require a contract between the utility and the non-utility for the DG services required by the utility. However, a contract for grid services is not an adequate substitute for grid ownership.  Contracts, with their inherent complexity, ambiguity, multiple interpretations, and tendency for disputes, would not allow the utility to fulfill its obligation for providing safe and reliable operation of the distribution system.</w:t>
            </w:r>
          </w:p>
          <w:p>
            <w:pPr>
              <w:pStyle w:val="Heading3Text"/>
              <w:spacing w:lineRule="auto" w:line="240"/>
              <w:ind w:hanging="0" w:start="0" w:end="0"/>
              <w:rPr>
                <w:rFonts w:ascii="Times New Roman" w:hAnsi="Times New Roman" w:cs="Times New Roman"/>
                <w:b/>
                <w:sz w:val="20"/>
              </w:rPr>
            </w:pPr>
            <w:r>
              <w:rPr>
                <w:rFonts w:cs="Times New Roman" w:ascii="Times New Roman" w:hAnsi="Times New Roman"/>
                <w:b/>
                <w:sz w:val="20"/>
              </w:rPr>
              <w:t>Control</w:t>
            </w:r>
            <w:r>
              <w:rPr>
                <w:rFonts w:cs="Times New Roman" w:ascii="Times New Roman" w:hAnsi="Times New Roman"/>
                <w:sz w:val="20"/>
              </w:rPr>
              <w:t xml:space="preserve"> SCE must retain control of the facilities which interconnect all DG to the distribution grid. In some cases, direct control of interconnection facilities or distributed generation may be necessary. Automatic control equipment requirements insure coordination between frequency and voltage control of the DG and those of the distribution utility and other DGs.</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SCE concurs with the ISO’s position that retail distribution-only wheeling service is not physically feasible and, therefore, simply cannot be offered. Distribution-only wheeling service cannot be performed in isolation from the ISO grid. At FERC, </w:t>
            </w:r>
            <w:r>
              <w:rPr>
                <w:b/>
              </w:rPr>
              <w:t>Enron, the primary proponent for wholesale distribution-only wheeling service, provided no factual evidence supporting its position.</w:t>
            </w:r>
            <w:r>
              <w:rPr/>
              <w:t xml:space="preserve">  The ISO strongly objected on brief to the creation of a wholesale distribution-only service.</w:t>
            </w:r>
          </w:p>
          <w:p>
            <w:pPr>
              <w:pStyle w:val="Normal"/>
              <w:rPr/>
            </w:pPr>
            <w:r>
              <w:rPr>
                <w:b/>
              </w:rPr>
              <w:t xml:space="preserve">Jurisdiction: </w:t>
            </w:r>
            <w:r>
              <w:rPr/>
              <w:t xml:space="preserve">DGs making direct sales to retail customers would essentially be acting as ESPs.  Therefore, the non-price terms and conditions of those power sales to retail customers by DGs would be subject to the state laws and CPUC regulations governing ESPs. However, as a practical matter, DGs cannot sell </w:t>
            </w:r>
            <w:r>
              <w:rPr>
                <w:u w:val="single"/>
              </w:rPr>
              <w:t>purely</w:t>
            </w:r>
            <w:r>
              <w:rPr/>
              <w:t xml:space="preserve"> at retail to end-users because inevitably the DG will also have to sell imbalance energy to the ISO.</w:t>
            </w:r>
          </w:p>
          <w:p>
            <w:pPr>
              <w:pStyle w:val="Normal"/>
              <w:rPr/>
            </w:pPr>
            <w:r>
              <w:rPr>
                <w:b/>
              </w:rPr>
              <w:t xml:space="preserve">Interconnection: </w:t>
            </w:r>
            <w:r>
              <w:rPr/>
              <w:t>If the DG will sell any excess energy, the terms of interconnection inevitably will be FERC-jurisdictional particularly given that imbalance energy sales to the ISO will occur.  The one exception to this jurisdictional rule is for QFs selling wholesale power to the public utility.</w:t>
            </w:r>
          </w:p>
          <w:p>
            <w:pPr>
              <w:pStyle w:val="Normal"/>
              <w:rPr/>
            </w:pPr>
            <w:r>
              <w:rPr>
                <w:b/>
              </w:rPr>
              <w:t>Wheeling:</w:t>
            </w:r>
            <w:r>
              <w:rPr/>
              <w:t xml:space="preserve"> A </w:t>
            </w:r>
            <w:r>
              <w:rPr>
                <w:i/>
              </w:rPr>
              <w:t>retail</w:t>
            </w:r>
            <w:r>
              <w:rPr/>
              <w:t xml:space="preserve"> distribution-only wheeling service would be a fiction that does not reflect the actual manner in which a transmission/distribution system is operated. </w:t>
            </w:r>
          </w:p>
          <w:p>
            <w:pPr>
              <w:pStyle w:val="Normal"/>
              <w:rPr/>
            </w:pPr>
            <w:r>
              <w:rPr>
                <w:b/>
              </w:rPr>
              <w:t xml:space="preserve">Market Power: </w:t>
            </w:r>
            <w:r>
              <w:rPr/>
              <w:t>If DG is substituted for distribution “wires” investments, then it must be operated during certain hours to assure local reliability of the distribution system and this raises local market power concerns that must be addressed</w:t>
            </w:r>
          </w:p>
          <w:p>
            <w:pPr>
              <w:pStyle w:val="Normal"/>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FootnoteText"/>
              <w:rPr>
                <w:rFonts w:ascii="Times New Roman" w:hAnsi="Times New Roman" w:cs="Times New Roman"/>
              </w:rPr>
            </w:pPr>
            <w:r>
              <w:rPr>
                <w:rFonts w:cs="Times New Roman" w:ascii="Times New Roman" w:hAnsi="Times New Roman"/>
              </w:rPr>
              <w:t>Expanding net metering beyond the current program, however, is in direct contradiction to the working of the generation competitive market in California. Distortions in the competitive generation market can be eliminated through the “net hourly energy metering approach” described above, and provided that the customer will continue to pay for all utility costs, such as transmission, distribution, and transition costs, based on the gross amounts registered on the purchase meter.</w:t>
            </w:r>
          </w:p>
        </w:tc>
        <w:tc>
          <w:tcPr>
            <w:tcW w:w="1771" w:type="dxa"/>
            <w:tcBorders>
              <w:top w:val="single" w:sz="4" w:space="0" w:color="000000"/>
              <w:start w:val="single" w:sz="4" w:space="0" w:color="000000"/>
              <w:bottom w:val="single" w:sz="4" w:space="0" w:color="000000"/>
              <w:end w:val="single" w:sz="4" w:space="0" w:color="000000"/>
            </w:tcBorders>
          </w:tcPr>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 xml:space="preserve">SCE’s standby rates filed in their Post Transition Rate Design are designed properly to value DG, this is the same as charging DG customers the full service distribution rates and then crediting them with the costs they allow the utility to avoid. Customers who install DG do not allow the utility to avoid any T&amp;D costs and any customer who is connected to the grid should pay for these infrastructure costs. </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For Merchant DG, the WDAT values DG.</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DG customers that export power to the grid and have the capability to provide ancillary services can sell ancillary services to the market through the ISO and receive the market price for those services</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t>Other unqualifiable benefits will be reflected in rates.</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PG&amp;E</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 xml:space="preserve">UDCs should be permitted to own both on-grid DG and customer-side side DG. PG&amp;E already owns or leases about 30 DG primarily mobile generators, used for system support, maintenance power and emergency supply. UDC ownership eliminates the vast majority of scheduling issues and maintenance-control issues and substantially reduces transaction costs. </w:t>
            </w:r>
          </w:p>
          <w:p>
            <w:pPr>
              <w:pStyle w:val="Normal"/>
              <w:rPr/>
            </w:pPr>
            <w:r>
              <w:rPr/>
              <w:t>The costs of DG, either owned or leased by the UDC, that are used for distribution operations would be recovered in rates. Barring UDCs from owning on-grid DG would have an adverse financial impact whenever utility is able to install, own, and/or operate such generation at a cost lower than the alternatives.  It could also create other operational inefficiencies and risks.</w:t>
            </w:r>
          </w:p>
          <w:p>
            <w:pPr>
              <w:pStyle w:val="Normal"/>
              <w:rPr>
                <w:b/>
              </w:rPr>
            </w:pPr>
            <w:r>
              <w:rPr/>
              <w:t>PG&amp;E’s option to own DG will also provide an important check against market factors potentially producing third party proposals significantly above the actual unit cost.</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The distribution system does not function in isolation.  If you disconnect distribution circuits from the transmission grid, in most circumstances, the energy flow stops.  PG&amp;E opposes Distribution only wheeling. Distribution wheeling could not occur without the transmission and distribution systems being interconnected. Furthermore, a system operator is required to schedule these transactions.  This operator is currently the CAISO. </w:t>
            </w:r>
          </w:p>
          <w:p>
            <w:pPr>
              <w:pStyle w:val="Normal"/>
              <w:rPr/>
            </w:pPr>
            <w:r>
              <w:rPr>
                <w:b/>
              </w:rPr>
              <w:t xml:space="preserve">218: </w:t>
            </w:r>
            <w:r>
              <w:rPr/>
              <w:t>To expand exceptions under 216 and 218 would take further transactions outside of the Commission’s jurisdiction and control, and potentially risk the Commission’s ability to protect consumers and the overall electric utility structure in this state.</w:t>
            </w:r>
          </w:p>
          <w:p>
            <w:pPr>
              <w:pStyle w:val="Normal"/>
              <w:rPr/>
            </w:pPr>
            <w:r>
              <w:rPr>
                <w:b/>
              </w:rPr>
              <w:t xml:space="preserve">Jurisdiction: </w:t>
            </w:r>
            <w:r>
              <w:rPr/>
              <w:t>The Commission stated that if the purchaser of the electricity is a wholesale customer, then it would appear that the FERC has exclusive jurisdiction, but that if the customer is a retail direct access customer, the CPUC is likely to have jurisdiction. There is substantial authority that FERC should have jurisdiction over all new interconnection arrangements for generators actually delivering power into and through the California grid, whether the customer is interconnected to a transmission or distribution line, and whether it intends to sell to a retail or wholesale customer.  However, if the generator does not wish to deliver to the grid, and is only taking retail startup, standby, or supplemental power, the interconnection arrangement should fit comfortably within the CPUC’s jurisdiction.  Schedule E</w:t>
              <w:noBreakHyphen/>
              <w:t>NEM should not be expanded.</w:t>
            </w:r>
          </w:p>
          <w:p>
            <w:pPr>
              <w:pStyle w:val="Normal"/>
              <w:rPr>
                <w:b/>
              </w:rPr>
            </w:pPr>
            <w:r>
              <w:rPr>
                <w:b/>
              </w:rPr>
              <w:t xml:space="preserve"> </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Schedule E-NEM does not properly charge for the use of the transmission and distribution system or for non-bypassable charges.</w:t>
            </w:r>
          </w:p>
          <w:p>
            <w:pPr>
              <w:pStyle w:val="Normal"/>
              <w:rPr/>
            </w:pPr>
            <w:r>
              <w:rPr/>
              <w:t>By requiring PG&amp;E to credit the net metering customer for PG&amp;E’s transmission and distribution charge, the net metering customer is effectively receiving a credit for transmission and distribution services it is not providing. And the customer is also avoiding non-bypassable charges. PG&amp;E is not compensated for back up standby service utilized by the customer-generator.</w:t>
            </w:r>
          </w:p>
        </w:tc>
        <w:tc>
          <w:tcPr>
            <w:tcW w:w="1771" w:type="dxa"/>
            <w:tcBorders>
              <w:top w:val="single" w:sz="4" w:space="0" w:color="000000"/>
              <w:start w:val="single" w:sz="4" w:space="0" w:color="000000"/>
              <w:bottom w:val="single" w:sz="4" w:space="0" w:color="000000"/>
              <w:end w:val="single" w:sz="4" w:space="0" w:color="000000"/>
            </w:tcBorders>
          </w:tcPr>
          <w:p>
            <w:pPr>
              <w:pStyle w:val="QNum"/>
              <w:spacing w:lineRule="auto" w:line="240"/>
              <w:ind w:hanging="0" w:start="0" w:end="0"/>
              <w:rPr>
                <w:rFonts w:ascii="Times New Roman" w:hAnsi="Times New Roman" w:cs="Times New Roman"/>
                <w:sz w:val="20"/>
              </w:rPr>
            </w:pPr>
            <w:r>
              <w:rPr>
                <w:rFonts w:cs="Times New Roman" w:ascii="Times New Roman" w:hAnsi="Times New Roman"/>
                <w:sz w:val="20"/>
              </w:rPr>
              <w:t>PG&amp;E strongly believes that the Commission should avoid establishing a system whereby customers and/or installers of unsolicited DG units automatically receive some payment from PG&amp;E for transmission and/or distribution investments allegedly avoided as a result of their DG unit.  Customer-side applications have been, should be and presumably will continue to be installed to meet individual customer needs and desires. There is no justification for developing any “avoided cost” credit scheme.</w:t>
            </w:r>
          </w:p>
          <w:p>
            <w:pPr>
              <w:pStyle w:val="Heading3Text"/>
              <w:spacing w:lineRule="auto" w:line="240"/>
              <w:ind w:hanging="0" w:start="0" w:end="0"/>
              <w:rPr>
                <w:rFonts w:ascii="Times New Roman" w:hAnsi="Times New Roman" w:cs="Times New Roman"/>
                <w:sz w:val="20"/>
              </w:rPr>
            </w:pPr>
            <w:r>
              <w:rPr>
                <w:rFonts w:cs="Times New Roman" w:ascii="Times New Roman" w:hAnsi="Times New Roman"/>
                <w:sz w:val="20"/>
              </w:rPr>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NewEnergy</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t>UDCs should be restricted to the role of a facilitator of electric delivery and service transactions.</w:t>
            </w:r>
          </w:p>
          <w:p>
            <w:pPr>
              <w:pStyle w:val="Normal"/>
              <w:rPr/>
            </w:pPr>
            <w:r>
              <w:rPr>
                <w:b/>
              </w:rPr>
              <w:t xml:space="preserve">Customer and Grid Side: </w:t>
            </w:r>
            <w:r>
              <w:rPr/>
              <w:t>Investment in, and ownership of distributed generation, for use in providing certain distribution system functions or support gives rise to irreconcilable conflicts of interest, particularly with the UDC in the business of providing electric retail service in a competitive market. That potential for market abuse inhibits the development of a robust, competitive distributed generation market that will bring lower costs and service innovation to consumers.</w:t>
            </w:r>
          </w:p>
          <w:p>
            <w:pPr>
              <w:pStyle w:val="Normal"/>
              <w:rPr>
                <w:b/>
              </w:rPr>
            </w:pPr>
            <w:r>
              <w:rPr>
                <w:b/>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Wheeling: </w:t>
            </w:r>
            <w:r>
              <w:rPr/>
              <w:t>NewEnergy supports the provision of an unbundled distribution wheeling service. NewEnergy recognizes that the distribution system was not designed with the functionality to fully support the role of providing power transaction services. The UDCs should evolve their systems in a deliberate and effective manner to respond to user needs for distribution wheeling service. For example, the earliest service offering might be for an individual circuit on which a customer with excess generation may provide one or more other customers on that circuit with generation services.  The provision of this distribution service can evolve, built on the circuit experiences, to include multi-circuit, substation, and eventually area-wide power movement (wheeling) service.  This would be an evolutionary development of the distribution system design and operation.</w:t>
            </w:r>
          </w:p>
          <w:p>
            <w:pPr>
              <w:pStyle w:val="Normal"/>
              <w:rPr/>
            </w:pPr>
            <w:r>
              <w:rPr>
                <w:b/>
              </w:rPr>
              <w:t xml:space="preserve">216 – 218: </w:t>
            </w:r>
            <w:r>
              <w:rPr/>
              <w:t>The UDC would serve to wheel power from one customer with excess generation to one or more other customers with generation services, changes to the definition “public utility,” as set forth in Public Utilities Code Sections 216-218, will be necessary to prevent such generation entities from being subject to Commission regulation. Such transactions would not fall within the already recognized exceptions to the definition of electrical corporation, as set forth in Section 218.  Accordingly, at a minimum, those exceptions would need to be expanded, which could, in turn, impact certain of the definitional provisions of Sections 216 and 217.</w:t>
            </w:r>
          </w:p>
          <w:p>
            <w:pPr>
              <w:pStyle w:val="Normal"/>
              <w:rPr/>
            </w:pPr>
            <w:r>
              <w:rPr>
                <w:b/>
              </w:rPr>
              <w:t xml:space="preserve">Jurisdiction: </w:t>
            </w:r>
            <w:r>
              <w:rPr/>
              <w:t>The following transactions are not FERC regulated transactions and consequently fall under the jurisdiction of the CPUC: excess generation from one retail customer sold directly to another retail customer; and</w:t>
            </w:r>
          </w:p>
          <w:p>
            <w:pPr>
              <w:pStyle w:val="Normal"/>
              <w:rPr/>
            </w:pPr>
            <w:r>
              <w:rPr/>
              <w:t>electricity from a generator sold directly to a retail customer;</w:t>
            </w:r>
          </w:p>
          <w:p>
            <w:pPr>
              <w:pStyle w:val="Normal"/>
              <w:rPr>
                <w:b/>
              </w:rPr>
            </w:pPr>
            <w:r>
              <w:rPr>
                <w:b/>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Net-metering is not consistent with market pricing of electricity. The Commission might consider the continuation of such an arrangement for solar and wind technologies and the expansion to certain residential and small commercial emerging generation technologies such as fuel cells and microturbines. Ultimately, net-metering only refers to the distribution delivery costs because the energy is procured and delivered by other energy service providers under market choice arrangements.</w:t>
            </w:r>
          </w:p>
          <w:p>
            <w:pPr>
              <w:pStyle w:val="Normal"/>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New Energy does not recommend that the costs and benefits of each distributed generation project be “valued” on a project-by-project basis.  Instead, to the extent possible, let the market respond to customer values and to utility tariffs, incentives, and solicitations.</w:t>
            </w:r>
          </w:p>
          <w:p>
            <w:pPr>
              <w:pStyle w:val="Normal"/>
              <w:rPr/>
            </w:pPr>
            <w:r>
              <w:rPr/>
              <w:t>However, there may need to be a general valuation methodology which the UDC can employ in order to determine if investments made in wire solutions versus demand side management and distributed generation solutions are reasonable.</w:t>
            </w:r>
          </w:p>
        </w:tc>
      </w:tr>
      <w:tr>
        <w:trPr/>
        <w:tc>
          <w:tcPr>
            <w:tcW w:w="127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DPCA / CTMA</w:t>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Customer side:</w:t>
            </w:r>
            <w:r>
              <w:rPr/>
              <w:t xml:space="preserve"> UDCs should not be permitted to own or operate DG resources within their own service territories, except as California law might otherwise expressly provide. DPCA recognizes that other states’ policies differ concerning the separation of competitive activities from monopoly functions, and does not necessarily oppose such ownership or operation as a general policy, provided adequate protections against unfair exercise of monopoly power are in place. UDCs should be permitted to own or operate DG resources within their own service territories, </w:t>
            </w:r>
            <w:r>
              <w:rPr>
                <w:i/>
              </w:rPr>
              <w:t>but only when</w:t>
            </w:r>
            <w:r>
              <w:rPr/>
              <w:t xml:space="preserve"> (1) the utility has afforded non-utility DG providers a fair opportunity to propose safe, reliable, cost-effective, environmentally acceptable and timely DG solutions to meet clearly defined utility system needs, and (2) no non-utility proposal is forthcoming that offers those solutions on terms reasonably competitive with utility-provided solutions, as determined through a fair and objective evaluation process.</w:t>
            </w:r>
          </w:p>
          <w:p>
            <w:pPr>
              <w:pStyle w:val="Normal"/>
              <w:rPr/>
            </w:pPr>
            <w:r>
              <w:rPr>
                <w:b/>
              </w:rPr>
              <w:t xml:space="preserve">Dispatch: </w:t>
            </w:r>
            <w:r>
              <w:rPr/>
              <w:t>On the grid side of the meter, the entity legally responsible for grid safety and reliability should be permitted to dispatch DG under tariff arrangements or bilateral contracts where that is necessary to achieve clearly defined benefits to the grid and the customers it serves.</w:t>
            </w:r>
          </w:p>
          <w:p>
            <w:pPr>
              <w:pStyle w:val="Normal"/>
              <w:rPr/>
            </w:pPr>
            <w:r>
              <w:rPr/>
              <w:t>In general, no regulated electric utility should be permitted to exercise market power resulting from its monopoly position in the generation, transmission or distribution of power to gain undue competitive advantage in competitive markets for DG or to unduly favor its affiliated companies. Nor should it be permitted to use ratepayer funds to subsidize its own or its affiliates’ activities in competitive markets for DG.</w:t>
            </w:r>
          </w:p>
          <w:p>
            <w:pPr>
              <w:pStyle w:val="Normal"/>
              <w:rPr/>
            </w:pPr>
            <w:r>
              <w:rPr/>
            </w:r>
          </w:p>
        </w:tc>
        <w:tc>
          <w:tcPr>
            <w:tcW w:w="4230"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Distribution Only Tariffs: </w:t>
            </w:r>
            <w:r>
              <w:rPr/>
              <w:t xml:space="preserve">UDCs should be required to provide, and be fairly compensated for, unbundled wheeling services that distributed generators can use to transmit power to other loads. Such services would be fully consistent with federal policy and California restructuring law. They are essential to meaningful implementation of AB 1890, and will result in more efficient supply and consumption of energy. </w:t>
            </w:r>
          </w:p>
          <w:p>
            <w:pPr>
              <w:pStyle w:val="Normal"/>
              <w:rPr/>
            </w:pPr>
            <w:r>
              <w:rPr>
                <w:b/>
                <w:smallCaps/>
              </w:rPr>
              <w:t xml:space="preserve">216 - </w:t>
            </w:r>
            <w:r>
              <w:rPr>
                <w:b/>
              </w:rPr>
              <w:t xml:space="preserve">218: </w:t>
            </w:r>
            <w:r>
              <w:rPr/>
              <w:t>Significant ambiguities and inconsistencies persist in California law. The law should be rewritten to provide more rational treatment of DG, more consistency with competitive objectives, and more certainty and predictability for DG development.</w:t>
            </w:r>
          </w:p>
          <w:p>
            <w:pPr>
              <w:pStyle w:val="Normal"/>
              <w:rPr/>
            </w:pPr>
            <w:r>
              <w:rPr>
                <w:b/>
              </w:rPr>
              <w:t xml:space="preserve">Jurisdiction: </w:t>
            </w:r>
            <w:r>
              <w:rPr/>
              <w:t xml:space="preserve"> Jurisdiction over sales of excess DG capacity as between the FERC and the CPUC remains unclear in cases that do not involve wholesale sales to or through the interstate grid. Successful electricity competition in general, and healthy DG development in particular, require seamless markets governed by consistent, uniform, transparent rules with predictable outcomes. To achieve these ends, the CPUC and other responsible California agencies should lead the way toward rationalizing, reconciling and articulating federal/state jurisdictional boundaries affecting DG.</w:t>
            </w:r>
          </w:p>
          <w:p>
            <w:pPr>
              <w:pStyle w:val="Normal"/>
              <w:rPr/>
            </w:pPr>
            <w:r>
              <w:rPr>
                <w:b/>
              </w:rPr>
              <w:t>Dispatch and Scheduling Protocols:</w:t>
            </w:r>
            <w:r>
              <w:rPr/>
              <w:t xml:space="preserve"> If implemented, the announced policy of the CAISO concerning its needs for information, dispatch control and scheduling would impose unnecessary and perhaps prohibitive costs on small DG projects, and would create a bureaucratic nightmare for the CAISO. To simplify oversight and serve all stakeholders’ interests, different and less intrusive requirements should apply to DG for onsite use than to DG for export, and to DG whose outages pose no significant threat to grid operations.</w:t>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 xml:space="preserve">DG should compete without artificial barriers or subsidies. Whether net metering results in a subsidy will depend on specific system conditions and resource operations. To the extent that it does not, California law should be made fuel- and technology-neutral among all DG technologies that can provide demonstrable environmental or system benefits. </w:t>
            </w:r>
          </w:p>
          <w:p>
            <w:pPr>
              <w:pStyle w:val="Normal"/>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rPr/>
            </w:pPr>
            <w:r>
              <w:rPr/>
              <w:t>DPCA does not favor administrative valuation systems for California DG. Instead, DPCA urges the adoption of transparent utility planning mechanisms that enable energy consumers, property owners and DG providers to understand the values assigned to deferring or displacing conventional wires solutions, and how such values are calculated.</w:t>
            </w:r>
          </w:p>
          <w:p>
            <w:pPr>
              <w:pStyle w:val="Normal"/>
              <w:rPr/>
            </w:pPr>
            <w:r>
              <w:rPr/>
              <w:t>DPCA supports PBR mechanisms that incentives regulated utilities to seek the least-cost or highest-value solutions to system problems.</w:t>
            </w:r>
          </w:p>
        </w:tc>
      </w:tr>
    </w:tbl>
    <w:p>
      <w:pPr>
        <w:pStyle w:val="Normal"/>
        <w:rPr/>
      </w:pPr>
      <w:r>
        <w:rPr/>
      </w:r>
    </w:p>
    <w:sectPr>
      <w:type w:val="nextPage"/>
      <w:pgSz w:orient="landscape" w:w="15840" w:h="12240"/>
      <w:pgMar w:left="1440" w:right="1440" w:gutter="0" w:header="0" w:top="144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Heading1"/>
    <w:next w:val="Heading2Text"/>
    <w:qFormat/>
    <w:pPr>
      <w:keepLines/>
      <w:numPr>
        <w:ilvl w:val="1"/>
        <w:numId w:val="1"/>
      </w:numPr>
      <w:spacing w:lineRule="exact" w:line="480" w:before="240" w:after="120"/>
      <w:outlineLvl w:val="1"/>
    </w:pPr>
    <w:rPr>
      <w:rFonts w:ascii="NewCenturySchlbk;Century Schoolbook" w:hAnsi="NewCenturySchlbk;Century Schoolbook" w:cs="NewCenturySchlbk;Century Schoolbook"/>
      <w:sz w:val="24"/>
      <w:u w:val="singl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Normal"/>
    <w:qFormat/>
    <w:pPr>
      <w:numPr>
        <w:ilvl w:val="3"/>
        <w:numId w:val="1"/>
      </w:numPr>
      <w:outlineLvl w:val="3"/>
    </w:pPr>
    <w:rPr/>
  </w:style>
  <w:style w:type="paragraph" w:styleId="Heading5">
    <w:name w:val="heading 5"/>
    <w:basedOn w:val="Heading2"/>
    <w:next w:val="Normal"/>
    <w:qFormat/>
    <w:pPr>
      <w:numPr>
        <w:ilvl w:val="4"/>
        <w:numId w:val="1"/>
      </w:numPr>
      <w:outlineLvl w:val="4"/>
    </w:pPr>
    <w:rPr/>
  </w:style>
  <w:style w:type="paragraph" w:styleId="Heading6">
    <w:name w:val="heading 6"/>
    <w:basedOn w:val="Heading2"/>
    <w:next w:val="Normal"/>
    <w:qFormat/>
    <w:pPr>
      <w:numPr>
        <w:ilvl w:val="5"/>
        <w:numId w:val="1"/>
      </w:numPr>
      <w:outlineLvl w:val="5"/>
    </w:pPr>
    <w:rPr/>
  </w:style>
  <w:style w:type="paragraph" w:styleId="Heading7">
    <w:name w:val="heading 7"/>
    <w:basedOn w:val="Heading2"/>
    <w:next w:val="Normal"/>
    <w:qFormat/>
    <w:pPr>
      <w:numPr>
        <w:ilvl w:val="6"/>
        <w:numId w:val="1"/>
      </w:numPr>
      <w:outlineLvl w:val="6"/>
    </w:pPr>
    <w:rPr/>
  </w:style>
  <w:style w:type="paragraph" w:styleId="Heading8">
    <w:name w:val="heading 8"/>
    <w:basedOn w:val="Heading2"/>
    <w:next w:val="Normal"/>
    <w:qFormat/>
    <w:pPr>
      <w:numPr>
        <w:ilvl w:val="7"/>
        <w:numId w:val="1"/>
      </w:numPr>
      <w:outlineLvl w:val="7"/>
    </w:pPr>
    <w:rPr/>
  </w:style>
  <w:style w:type="paragraph" w:styleId="Heading9">
    <w:name w:val="heading 9"/>
    <w:basedOn w:val="Heading2"/>
    <w:next w:val="Normal"/>
    <w:qFormat/>
    <w:pPr>
      <w:numPr>
        <w:ilvl w:val="8"/>
        <w:numId w:val="1"/>
      </w:numPr>
      <w:outlineLvl w:val="8"/>
    </w:pPr>
    <w:rPr/>
  </w:style>
  <w:style w:type="character" w:styleId="WW8Num1z0">
    <w:name w:val="WW8Num1z0"/>
    <w:qFormat/>
    <w:rPr>
      <w:color w:val="0000FF"/>
      <w:u w:val="none"/>
    </w:rPr>
  </w:style>
  <w:style w:type="character" w:styleId="WW8Num3z0">
    <w:name w:val="WW8Num3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Courier New" w:hAnsi="Courier New" w:cs="Courier New"/>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Courier" w:hAnsi="Courier" w:cs="Courie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4"/>
    </w:rPr>
  </w:style>
  <w:style w:type="paragraph" w:styleId="FootnoteText">
    <w:name w:val="footnote text"/>
    <w:basedOn w:val="Normal"/>
    <w:pPr/>
    <w:rPr>
      <w:rFonts w:ascii="Courier New" w:hAnsi="Courier New" w:cs="Courier New"/>
    </w:rPr>
  </w:style>
  <w:style w:type="paragraph" w:styleId="Heading3Text">
    <w:name w:val="Heading 3 Text"/>
    <w:basedOn w:val="Normal"/>
    <w:qFormat/>
    <w:pPr>
      <w:spacing w:lineRule="atLeast" w:line="480"/>
      <w:ind w:firstLine="720" w:start="720" w:end="0"/>
    </w:pPr>
    <w:rPr>
      <w:rFonts w:ascii="NewCenturySchlbk;Century Schoolbook" w:hAnsi="NewCenturySchlbk;Century Schoolbook" w:cs="NewCenturySchlbk;Century Schoolbook"/>
      <w:sz w:val="24"/>
    </w:rPr>
  </w:style>
  <w:style w:type="paragraph" w:styleId="Heading2Text">
    <w:name w:val="Heading 2 Text"/>
    <w:basedOn w:val="Normal"/>
    <w:qFormat/>
    <w:pPr>
      <w:spacing w:lineRule="atLeast" w:line="480"/>
      <w:ind w:firstLine="720" w:start="0" w:end="0"/>
    </w:pPr>
    <w:rPr>
      <w:rFonts w:ascii="NewCenturySchlbk;Century Schoolbook" w:hAnsi="NewCenturySchlbk;Century Schoolbook" w:cs="NewCenturySchlbk;Century Schoolbook"/>
      <w:sz w:val="24"/>
    </w:rPr>
  </w:style>
  <w:style w:type="paragraph" w:styleId="QNum">
    <w:name w:val="QNum"/>
    <w:basedOn w:val="Normal"/>
    <w:qFormat/>
    <w:pPr>
      <w:tabs>
        <w:tab w:val="clear" w:pos="720"/>
        <w:tab w:val="left" w:pos="1440" w:leader="none"/>
        <w:tab w:val="left" w:pos="2160" w:leader="none"/>
        <w:tab w:val="left" w:pos="2880" w:leader="none"/>
      </w:tabs>
      <w:spacing w:lineRule="exact" w:line="400"/>
      <w:ind w:hanging="864" w:start="864" w:end="0"/>
    </w:pPr>
    <w:rPr>
      <w:rFonts w:ascii="Arial" w:hAnsi="Arial" w:cs="Arial"/>
      <w:sz w:val="24"/>
    </w:rPr>
  </w:style>
  <w:style w:type="paragraph" w:styleId="Body5">
    <w:name w:val="Body 5"/>
    <w:basedOn w:val="Normal"/>
    <w:qFormat/>
    <w:pPr>
      <w:spacing w:lineRule="exact" w:line="400"/>
      <w:ind w:firstLine="432" w:start="2160" w:end="0"/>
    </w:pPr>
    <w:rPr>
      <w:rFonts w:ascii="Arial" w:hAnsi="Arial" w:cs="Arial"/>
      <w:sz w:val="24"/>
    </w:rPr>
  </w:style>
  <w:style w:type="paragraph" w:styleId="Subtitle">
    <w:name w:val="Subtitle"/>
    <w:basedOn w:val="Normal"/>
    <w:next w:val="BodyText"/>
    <w:qFormat/>
    <w:pPr/>
    <w:rPr>
      <w:b/>
      <w:sz w:val="24"/>
    </w:rPr>
  </w:style>
  <w:style w:type="paragraph" w:styleId="BodyText2">
    <w:name w:val="Body Text 2"/>
    <w:basedOn w:val="Normal"/>
    <w:qFormat/>
    <w:pPr>
      <w:spacing w:lineRule="auto" w:line="360"/>
      <w:ind w:hanging="0" w:start="720" w:end="0"/>
    </w:pPr>
    <w:rPr>
      <w:rFonts w:ascii="Times" w:hAnsi="Times" w:cs="Times"/>
      <w:sz w:val="22"/>
    </w:rPr>
  </w:style>
  <w:style w:type="paragraph" w:styleId="BodyTextIndent2">
    <w:name w:val="Body Text Indent 2"/>
    <w:basedOn w:val="Normal"/>
    <w:qFormat/>
    <w:pPr>
      <w:ind w:hanging="0" w:start="72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2000-04-16T20:26:00Z</dcterms:created>
  <dc:creator>Bruno Gaillard</dc:creator>
  <dc:description/>
  <dc:language>en-CA</dc:language>
  <cp:lastModifiedBy>Bruno Gaillard</cp:lastModifiedBy>
  <dcterms:modified xsi:type="dcterms:W3CDTF">2000-04-18T20:34:00Z</dcterms:modified>
  <cp:revision>6</cp:revision>
  <dc:subject/>
  <dc:title>Party</dc:title>
</cp:coreProperties>
</file>