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rPr>
          <w:sz w:val="20"/>
        </w:rPr>
      </w:pPr>
      <w:r>
        <w:rPr>
          <w:sz w:val="20"/>
        </w:rPr>
        <w:t xml:space="preserve">Strategic Analysis of Bristol Myers Squibb, Merck, Mylan </w:t>
      </w:r>
    </w:p>
    <w:p>
      <w:pPr>
        <w:pStyle w:val="Heading2"/>
        <w:spacing w:lineRule="auto" w:line="360"/>
        <w:rPr>
          <w:sz w:val="20"/>
        </w:rPr>
      </w:pPr>
      <w:r>
        <w:rPr>
          <w:sz w:val="20"/>
        </w:rPr>
      </w:r>
    </w:p>
    <w:p>
      <w:pPr>
        <w:pStyle w:val="Normal"/>
        <w:rPr/>
      </w:pPr>
      <w:r>
        <w:rPr>
          <w:b/>
          <w:i/>
          <w:sz w:val="20"/>
        </w:rPr>
        <w:t>Bristol</w:t>
      </w:r>
      <w:r>
        <w:rPr>
          <w:sz w:val="20"/>
        </w:rPr>
        <w:t>: Bristol is the most diversified of the three firms in terms of product line and geography. It earns approximately 75% of its operating income from pharmaceutical products with the bulk of the remainder concentrated in nonprescription health products and a much smaller contribution from personal products and medical devices.</w:t>
      </w:r>
    </w:p>
    <w:p>
      <w:pPr>
        <w:pStyle w:val="Normal"/>
        <w:rPr>
          <w:sz w:val="20"/>
        </w:rPr>
      </w:pPr>
      <w:r>
        <w:rPr>
          <w:sz w:val="20"/>
        </w:rPr>
        <w:t>Within the pharmaceutical products division, Bristol has been focused on generic drugs.  These drugs have similar chemical compositions to ethical drugs, but sell at prices much less than counterparts and, we suspect, don’t require the significant investments in R&amp;D to produce.  However, Bristol made a strategic decision in 1989 to boost its efforts in the ethical drug sector and the personal care products segment; however these are secondary to their main position in generic drugs.</w:t>
      </w:r>
    </w:p>
    <w:p>
      <w:pPr>
        <w:pStyle w:val="Normal"/>
        <w:rPr>
          <w:sz w:val="20"/>
        </w:rPr>
      </w:pPr>
      <w:r>
        <w:rPr>
          <w:sz w:val="20"/>
        </w:rPr>
      </w:r>
    </w:p>
    <w:p>
      <w:pPr>
        <w:pStyle w:val="Normal"/>
        <w:rPr/>
      </w:pPr>
      <w:r>
        <w:rPr>
          <w:b/>
          <w:sz w:val="20"/>
          <w:u w:val="single"/>
        </w:rPr>
        <w:t>Strategy</w:t>
      </w:r>
      <w:r>
        <w:rPr>
          <w:sz w:val="20"/>
        </w:rPr>
        <w:t>: Bristol should have a modest budget towards advertising and marketing in order to support its generic drug line and  personal care products.  Also, with the acquisition of Squibb, and the firm’s entrance into the more profitable ethical business, allocation to R&amp;D must be boosted beyond the 9.8% current average.</w:t>
      </w:r>
    </w:p>
    <w:p>
      <w:pPr>
        <w:pStyle w:val="FootnoteText"/>
        <w:rPr>
          <w:sz w:val="20"/>
        </w:rPr>
      </w:pPr>
      <w:r>
        <w:rPr>
          <w:sz w:val="20"/>
        </w:rPr>
      </w:r>
    </w:p>
    <w:p>
      <w:pPr>
        <w:pStyle w:val="Normal"/>
        <w:rPr/>
      </w:pPr>
      <w:r>
        <w:rPr>
          <w:b/>
          <w:i/>
          <w:sz w:val="20"/>
        </w:rPr>
        <w:t>Merck</w:t>
      </w:r>
      <w:r>
        <w:rPr>
          <w:sz w:val="20"/>
        </w:rPr>
        <w:t>: This extremely large pharmaceutical company generated over $10 billion in sales and over $3 billion in cash from operation in 1993 as it has a concentrated focus on the ethical drugs market.  Over 95% of Merck’s sales and 94% of its operating profits come from ethical drugs.  The majority of sales and a significant portion of profits are generated in the United States.  Approximately 45% of sales and 24% of profits are generated outside of the United States (mostly developed nations).</w:t>
      </w:r>
    </w:p>
    <w:p>
      <w:pPr>
        <w:pStyle w:val="Normal"/>
        <w:rPr>
          <w:sz w:val="20"/>
        </w:rPr>
      </w:pPr>
      <w:r>
        <w:rPr>
          <w:sz w:val="20"/>
        </w:rPr>
      </w:r>
    </w:p>
    <w:p>
      <w:pPr>
        <w:pStyle w:val="Normal"/>
        <w:rPr/>
      </w:pPr>
      <w:r>
        <w:rPr>
          <w:b/>
          <w:sz w:val="20"/>
          <w:u w:val="single"/>
        </w:rPr>
        <w:t>Strategy</w:t>
      </w:r>
      <w:r>
        <w:rPr>
          <w:sz w:val="20"/>
        </w:rPr>
        <w:t>: As would be expected, Merck allocates a significant portion of its revenues on R&amp;D to continue developing a healthy supply of new drugs.  In order to minimize some of Merck’s risk, the firm has actively used joint ventures and strategic alliances in order to develop new drugs and/or to enter new geographical territories.</w:t>
      </w:r>
    </w:p>
    <w:p>
      <w:pPr>
        <w:pStyle w:val="Normal"/>
        <w:rPr>
          <w:sz w:val="20"/>
        </w:rPr>
      </w:pPr>
      <w:r>
        <w:rPr>
          <w:sz w:val="20"/>
        </w:rPr>
      </w:r>
    </w:p>
    <w:p>
      <w:pPr>
        <w:pStyle w:val="Normal"/>
        <w:rPr/>
      </w:pPr>
      <w:r>
        <w:rPr>
          <w:b/>
          <w:i/>
          <w:sz w:val="20"/>
        </w:rPr>
        <w:t>Mylan</w:t>
      </w:r>
      <w:r>
        <w:rPr>
          <w:i/>
          <w:sz w:val="20"/>
        </w:rPr>
        <w:t>:</w:t>
      </w:r>
      <w:r>
        <w:rPr>
          <w:sz w:val="20"/>
        </w:rPr>
        <w:t xml:space="preserve"> The smallest of the three firms as measured in sales ($251 million in 1994), assets, and profits, Mylan is a leading manufacturer of generic drugs.  Its one ethical drug, Eldepryl, is managed in a joint venture with Somerset Pharmaceuticals.  Of late (1991 and 1993), Mylan has purchased two companies and subsequently, has entered the wound care business and the transdermal drug delivery systems business.</w:t>
      </w:r>
    </w:p>
    <w:p>
      <w:pPr>
        <w:pStyle w:val="Normal"/>
        <w:rPr>
          <w:sz w:val="20"/>
        </w:rPr>
      </w:pPr>
      <w:r>
        <w:rPr>
          <w:sz w:val="20"/>
        </w:rPr>
      </w:r>
    </w:p>
    <w:p>
      <w:pPr>
        <w:pStyle w:val="Normal"/>
        <w:rPr/>
      </w:pPr>
      <w:r>
        <w:rPr>
          <w:b/>
          <w:sz w:val="20"/>
          <w:u w:val="single"/>
        </w:rPr>
        <w:t>Strategy</w:t>
      </w:r>
      <w:r>
        <w:rPr>
          <w:sz w:val="20"/>
        </w:rPr>
        <w:t>: Given Mylan’s strong reliance on generic drugs, we recommend that Mylan have relatively smaller allocation to R&amp;D, and high expenditure towards marketing and advertising. Its S&amp;A expenditures (18.4%) are significantly lower as a percentage of sales than Bristol (38.6%).</w:t>
      </w:r>
    </w:p>
    <w:p>
      <w:pPr>
        <w:pStyle w:val="FootnoteText"/>
        <w:rPr>
          <w:sz w:val="20"/>
        </w:rPr>
      </w:pPr>
      <w:r>
        <w:rPr>
          <w:sz w:val="20"/>
        </w:rPr>
      </w:r>
    </w:p>
    <w:p>
      <w:pPr>
        <w:pStyle w:val="Heading1"/>
        <w:ind w:hanging="0" w:start="0"/>
        <w:rPr>
          <w:caps w:val="false"/>
          <w:smallCaps w:val="false"/>
          <w:sz w:val="20"/>
        </w:rPr>
      </w:pPr>
      <w:r>
        <w:rPr>
          <w:caps w:val="false"/>
          <w:smallCaps w:val="false"/>
          <w:sz w:val="20"/>
        </w:rPr>
        <w:t>Analysis of Ratios - Results and Conclusions</w:t>
      </w:r>
    </w:p>
    <w:p>
      <w:pPr>
        <w:pStyle w:val="Normal"/>
        <w:rPr/>
      </w:pPr>
      <w:r>
        <w:rPr>
          <w:sz w:val="20"/>
          <w:u w:val="single"/>
        </w:rPr>
        <w:t>Profit Margin</w:t>
      </w:r>
      <w:r>
        <w:rPr>
          <w:sz w:val="20"/>
        </w:rPr>
        <w:t xml:space="preserve">: Given the product focus of the three companies, one would expect the Merck would have the highest profit margins given its almost exclusive concentration on the high profit margin ethical drug line.  According to the data, however, Merck generated a 26% average profit margin, which while greater than Bristol (19.5%), was less than Mylan’s 30.9% profit margin.  When one excludes Mylan’s equity income contribution from its joint venture in Somerset (its one ethical drug), the firm’s profit margin declines to 23%, net. Obviously, the impact of Eldepryl has a considerable influence on Mylan’s financial ratios. However, it is felt that Mylan’s profits are higher because it is not investing heavily in S&amp;A. Increased S&amp;A expenditures would lead to long term top line growth. </w:t>
      </w:r>
    </w:p>
    <w:p>
      <w:pPr>
        <w:pStyle w:val="Normal"/>
        <w:rPr>
          <w:sz w:val="20"/>
        </w:rPr>
      </w:pPr>
      <w:r>
        <w:rPr>
          <w:sz w:val="20"/>
        </w:rPr>
      </w:r>
    </w:p>
    <w:p>
      <w:pPr>
        <w:pStyle w:val="Normal"/>
        <w:rPr/>
      </w:pPr>
      <w:r>
        <w:rPr>
          <w:sz w:val="20"/>
          <w:u w:val="single"/>
        </w:rPr>
        <w:t>Asset Turnover</w:t>
      </w:r>
      <w:r>
        <w:rPr>
          <w:sz w:val="20"/>
        </w:rPr>
        <w:t>: Here we would expect that Bristol Myers might have the highest asset turnover as it has the greatest exposure to the consumer marketplace, and a modest investment in personal care products.  Bristol has consistently targeted 11% of revenue towards advertising, the greatest of the three firms.  Additionally, over 38% of revenue is spent on SGA, more than Merck (28%) and almost double that spent by Mylan.</w:t>
      </w:r>
    </w:p>
    <w:p>
      <w:pPr>
        <w:pStyle w:val="Normal"/>
        <w:rPr>
          <w:sz w:val="20"/>
        </w:rPr>
      </w:pPr>
      <w:r>
        <w:rPr>
          <w:sz w:val="20"/>
        </w:rPr>
      </w:r>
    </w:p>
    <w:p>
      <w:pPr>
        <w:pStyle w:val="Normal"/>
        <w:rPr>
          <w:sz w:val="20"/>
        </w:rPr>
      </w:pPr>
      <w:r>
        <w:rPr>
          <w:sz w:val="20"/>
        </w:rPr>
        <w:t>Asset turnover for Merck has steadily declined over this three year time series.  However, we can see that the firm’s acquisition of Medco added $8.1 billion in total assets to the balance sheet.  One would need to see what Medco’s contributions to profits would have been on a historical basis. More importantly, we would want to see Medco’s future expected profit contributions, and how they relate to Merck’s current ROA.</w:t>
      </w:r>
    </w:p>
    <w:p>
      <w:pPr>
        <w:pStyle w:val="Normal"/>
        <w:rPr>
          <w:sz w:val="20"/>
        </w:rPr>
      </w:pPr>
      <w:r>
        <w:rPr>
          <w:sz w:val="20"/>
        </w:rPr>
      </w:r>
    </w:p>
    <w:p>
      <w:pPr>
        <w:pStyle w:val="Normal"/>
        <w:rPr>
          <w:sz w:val="20"/>
        </w:rPr>
      </w:pPr>
      <w:r>
        <w:rPr>
          <w:sz w:val="20"/>
        </w:rPr>
        <w:t>Asset turnover for Mylan has held relatively steady over the three year period.  One factor that could significantly impact Mylan’s asset turnover, ROA and ROE is Mylan’s equity investment in Somerset.  Because Mylan accounts for the joint venture as an equity investment, the assets and liabilities of Somerset are not counted in Mylan’s balance sheet.  Because of Somerset’s significant contribution to Mylan’s net income, one would want to evaluate and perhaps include Somerset’s balance sheet and income statement on Mylan’s own financial statements.</w:t>
      </w:r>
    </w:p>
    <w:p>
      <w:pPr>
        <w:pStyle w:val="Normal"/>
        <w:rPr>
          <w:sz w:val="20"/>
        </w:rPr>
      </w:pPr>
      <w:r>
        <w:rPr>
          <w:sz w:val="20"/>
        </w:rPr>
      </w:r>
    </w:p>
    <w:p>
      <w:pPr>
        <w:pStyle w:val="Normal"/>
        <w:rPr/>
      </w:pPr>
      <w:r>
        <w:rPr>
          <w:b/>
          <w:sz w:val="20"/>
          <w:u w:val="single"/>
        </w:rPr>
        <w:t>Risks</w:t>
      </w:r>
      <w:r>
        <w:rPr>
          <w:sz w:val="20"/>
        </w:rPr>
        <w:t>: The obvious risks for Merck is that they must continue to develop new drugs.  While Merck continues to spend significant resources on research &amp; development of these new drugs, there is no guarantee that they will be successful or that the FDA would approve of any new drugs.</w:t>
      </w:r>
    </w:p>
    <w:p>
      <w:pPr>
        <w:pStyle w:val="Normal"/>
        <w:rPr>
          <w:sz w:val="20"/>
        </w:rPr>
      </w:pPr>
      <w:r>
        <w:rPr>
          <w:sz w:val="20"/>
        </w:rPr>
      </w:r>
    </w:p>
    <w:p>
      <w:pPr>
        <w:pStyle w:val="Normal"/>
        <w:rPr>
          <w:sz w:val="20"/>
        </w:rPr>
      </w:pPr>
      <w:r>
        <w:rPr>
          <w:sz w:val="20"/>
        </w:rPr>
        <w:t xml:space="preserve">Bristol’s risk appears to be their entry into the ethical drug market and their continued ability to succeed in a new business line.  Even if they are successful in creating and getting approval for ethical drugs, the firm also has unproven distribution, marketing, and sales experience in such drugs to the extent that the channel is significantly different for ethical drugs than for generic drugs. </w:t>
      </w:r>
    </w:p>
    <w:p>
      <w:pPr>
        <w:pStyle w:val="Normal"/>
        <w:rPr>
          <w:sz w:val="22"/>
        </w:rPr>
      </w:pPr>
      <w:r>
        <w:rPr>
          <w:sz w:val="22"/>
        </w:rPr>
      </w:r>
    </w:p>
    <w:p>
      <w:pPr>
        <w:pStyle w:val="Normal"/>
        <w:rPr>
          <w:sz w:val="20"/>
        </w:rPr>
      </w:pPr>
      <w:r>
        <w:rPr>
          <w:sz w:val="20"/>
        </w:rPr>
        <w:t>The obvious risk to Mylan is that approximately 25% of the firm’s revenues derive from one drug, Eldepryl.  Mylan appears to have boosted its relative R&amp;D investments although we cannot gauge what Mylan has in the pipeline, or how successfully they would be in producing new products.</w:t>
      </w:r>
    </w:p>
    <w:p>
      <w:pPr>
        <w:pStyle w:val="Normal"/>
        <w:rPr>
          <w:sz w:val="20"/>
        </w:rPr>
      </w:pPr>
      <w:r>
        <w:rPr>
          <w:sz w:val="20"/>
        </w:rPr>
      </w:r>
    </w:p>
    <w:p>
      <w:pPr>
        <w:pStyle w:val="Normal"/>
        <w:rPr>
          <w:sz w:val="20"/>
        </w:rPr>
      </w:pPr>
      <w:r>
        <w:rPr>
          <w:sz w:val="20"/>
        </w:rPr>
        <w:t>Merck and Bristol have the majority of their sales and profits coming from the U.S. Any enacted legislation to regulate the industry and its profits would hurt Bristol and Merck significantly. They should look to grow their international operations in order to cushion the effect of any health care related U.S. legislation in the near future.</w:t>
      </w:r>
    </w:p>
    <w:p>
      <w:pPr>
        <w:pStyle w:val="Normal"/>
        <w:rPr>
          <w:sz w:val="20"/>
        </w:rPr>
      </w:pPr>
      <w:r>
        <w:rPr>
          <w:sz w:val="20"/>
        </w:rPr>
      </w:r>
    </w:p>
    <w:p>
      <w:pPr>
        <w:pStyle w:val="Normal"/>
        <w:rPr/>
      </w:pPr>
      <w:r>
        <w:rPr>
          <w:b/>
          <w:sz w:val="20"/>
        </w:rPr>
        <w:t>Summary of Operational Position</w:t>
      </w:r>
      <w:r>
        <w:rPr>
          <w:sz w:val="20"/>
        </w:rPr>
        <w:t>:</w:t>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214" w:type="dxa"/>
            <w:tcBorders>
              <w:top w:val="single" w:sz="4" w:space="0" w:color="000000"/>
              <w:start w:val="single" w:sz="4" w:space="0" w:color="000000"/>
              <w:bottom w:val="single" w:sz="4" w:space="0" w:color="000000"/>
              <w:end w:val="single" w:sz="4" w:space="0" w:color="000000"/>
            </w:tcBorders>
          </w:tcPr>
          <w:p>
            <w:pPr>
              <w:pStyle w:val="FootnoteText"/>
              <w:rPr>
                <w:b/>
              </w:rPr>
            </w:pPr>
            <w:r>
              <w:rPr>
                <w:b/>
              </w:rPr>
              <w:t>Bristol</w:t>
            </w:r>
          </w:p>
        </w:tc>
        <w:tc>
          <w:tcPr>
            <w:tcW w:w="2214"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Merck</w:t>
            </w:r>
          </w:p>
        </w:tc>
        <w:tc>
          <w:tcPr>
            <w:tcW w:w="2214"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Mylan</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 xml:space="preserve">Product Focus Area </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Generic Drugs; Ethical secondary</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Ethical drugs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Generic Drugs</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i/>
                <w:i/>
                <w:sz w:val="20"/>
              </w:rPr>
            </w:pPr>
            <w:r>
              <w:rPr>
                <w:i/>
                <w:sz w:val="20"/>
              </w:rPr>
              <w:t>R&amp;D / Sales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9.8%</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11.35%</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7.5%</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i/>
                <w:i/>
                <w:sz w:val="20"/>
              </w:rPr>
            </w:pPr>
            <w:r>
              <w:rPr>
                <w:i/>
                <w:sz w:val="20"/>
              </w:rPr>
              <w:t>S &amp; A / Sales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38.6%</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29.25%</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18.4%</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i/>
                <w:i/>
                <w:sz w:val="20"/>
              </w:rPr>
            </w:pPr>
            <w:r>
              <w:rPr>
                <w:i/>
                <w:sz w:val="20"/>
              </w:rPr>
              <w:t>Average COGS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26%</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22.8%</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46%</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i/>
                <w:i/>
                <w:sz w:val="20"/>
              </w:rPr>
            </w:pPr>
            <w:r>
              <w:rPr>
                <w:i/>
                <w:sz w:val="20"/>
              </w:rPr>
              <w:t>Average ROA</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20.37%</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23.63%</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22.03%</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i/>
                <w:i/>
                <w:sz w:val="20"/>
              </w:rPr>
            </w:pPr>
            <w:r>
              <w:rPr>
                <w:i/>
                <w:sz w:val="20"/>
              </w:rPr>
              <w:t>Average ROE</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37.83%</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50.13%</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24.2%</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i/>
                <w:i/>
                <w:sz w:val="20"/>
              </w:rPr>
            </w:pPr>
            <w:r>
              <w:rPr>
                <w:i/>
                <w:sz w:val="20"/>
              </w:rPr>
              <w:t>Average Asset Turns</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1.07</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0.73</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i/>
                <w:i/>
                <w:sz w:val="20"/>
              </w:rPr>
            </w:pPr>
            <w:r>
              <w:rPr>
                <w:i/>
                <w:sz w:val="20"/>
              </w:rPr>
              <w:t>Average Profit Margin</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19.53%</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26%</w:t>
            </w:r>
          </w:p>
        </w:tc>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30.96% (23% net of Somerset venture)</w:t>
            </w:r>
          </w:p>
        </w:tc>
      </w:tr>
    </w:tbl>
    <w:p>
      <w:pPr>
        <w:pStyle w:val="Normal"/>
        <w:rPr/>
      </w:pPr>
      <w:r>
        <w:rPr/>
      </w:r>
      <w:r>
        <w:br w:type="page"/>
      </w:r>
    </w:p>
    <w:p>
      <w:pPr>
        <w:pStyle w:val="Normal"/>
        <w:rPr/>
      </w:pPr>
      <w:r>
        <w:rPr>
          <w:b/>
          <w:sz w:val="20"/>
        </w:rPr>
        <w:t>Appendix</w:t>
      </w:r>
      <w:r>
        <w:rPr>
          <w:sz w:val="20"/>
        </w:rPr>
        <w:t xml:space="preserve">: Adjustment of Items: </w:t>
      </w:r>
    </w:p>
    <w:p>
      <w:pPr>
        <w:pStyle w:val="Normal"/>
        <w:rPr>
          <w:sz w:val="20"/>
        </w:rPr>
      </w:pPr>
      <w:r>
        <w:rPr>
          <w:sz w:val="20"/>
        </w:rPr>
      </w:r>
    </w:p>
    <w:p>
      <w:pPr>
        <w:pStyle w:val="Heading6"/>
        <w:ind w:hanging="0" w:start="0"/>
        <w:rPr/>
      </w:pPr>
      <w:r>
        <w:rPr/>
        <w:t>Bristol-Myers Squibb</w:t>
      </w:r>
    </w:p>
    <w:p>
      <w:pPr>
        <w:pStyle w:val="Normal"/>
        <w:numPr>
          <w:ilvl w:val="0"/>
          <w:numId w:val="3"/>
        </w:numPr>
        <w:rPr>
          <w:i/>
          <w:i/>
          <w:sz w:val="20"/>
        </w:rPr>
      </w:pPr>
      <w:r>
        <w:rPr>
          <w:i/>
          <w:sz w:val="20"/>
        </w:rPr>
        <w:t xml:space="preserve">Provision for Restructuring (1992): </w:t>
      </w:r>
      <w:r>
        <w:rPr>
          <w:sz w:val="20"/>
        </w:rPr>
        <w:t xml:space="preserve">Non-recurring. Exclude from income statement along with tax effect. </w:t>
      </w:r>
    </w:p>
    <w:p>
      <w:pPr>
        <w:pStyle w:val="Normal"/>
        <w:numPr>
          <w:ilvl w:val="0"/>
          <w:numId w:val="3"/>
        </w:numPr>
        <w:rPr>
          <w:i/>
          <w:i/>
          <w:sz w:val="20"/>
        </w:rPr>
      </w:pPr>
      <w:r>
        <w:rPr>
          <w:i/>
          <w:sz w:val="20"/>
        </w:rPr>
        <w:t>Income and Gain from Discontinued Operations (1991 and 1992):</w:t>
      </w:r>
      <w:r>
        <w:rPr>
          <w:sz w:val="20"/>
        </w:rPr>
        <w:t xml:space="preserve"> Non-recurring, material, exited business. Take out $605 million in gains and $65 mil in income for 1991 and 1992</w:t>
      </w:r>
    </w:p>
    <w:p>
      <w:pPr>
        <w:pStyle w:val="Normal"/>
        <w:numPr>
          <w:ilvl w:val="0"/>
          <w:numId w:val="3"/>
        </w:numPr>
        <w:rPr>
          <w:i/>
          <w:i/>
          <w:sz w:val="20"/>
        </w:rPr>
      </w:pPr>
      <w:r>
        <w:rPr>
          <w:i/>
          <w:sz w:val="20"/>
        </w:rPr>
        <w:t xml:space="preserve">Adoption of FAS 106 (1992): </w:t>
      </w:r>
      <w:r>
        <w:rPr>
          <w:sz w:val="20"/>
        </w:rPr>
        <w:t xml:space="preserve">Nonrecurring item. Represents a correction of amounts previously set up as a liability. Exclude from ICO. Add back $309 million in pretax. The amount is material, and can be set up a liability funded out of retained earnings (as Coke did). </w:t>
      </w:r>
    </w:p>
    <w:p>
      <w:pPr>
        <w:pStyle w:val="Normal"/>
        <w:numPr>
          <w:ilvl w:val="0"/>
          <w:numId w:val="3"/>
        </w:numPr>
        <w:rPr>
          <w:i/>
          <w:i/>
          <w:sz w:val="20"/>
        </w:rPr>
      </w:pPr>
      <w:r>
        <w:rPr>
          <w:i/>
          <w:sz w:val="20"/>
        </w:rPr>
        <w:t xml:space="preserve">Special Charge for Product Liability (1993): </w:t>
      </w:r>
      <w:r>
        <w:rPr>
          <w:sz w:val="20"/>
        </w:rPr>
        <w:t xml:space="preserve">Remove special charge of $500 million pretax. Subtract out $1 billion from insurance receivables, and 1.31 billion in other liabilities. </w:t>
      </w:r>
    </w:p>
    <w:p>
      <w:pPr>
        <w:pStyle w:val="Normal"/>
        <w:numPr>
          <w:ilvl w:val="0"/>
          <w:numId w:val="3"/>
        </w:numPr>
        <w:rPr>
          <w:i/>
          <w:i/>
          <w:sz w:val="20"/>
        </w:rPr>
      </w:pPr>
      <w:r>
        <w:rPr>
          <w:i/>
          <w:sz w:val="20"/>
        </w:rPr>
        <w:t xml:space="preserve">Operating Leases: </w:t>
      </w:r>
      <w:r>
        <w:rPr>
          <w:sz w:val="20"/>
        </w:rPr>
        <w:t xml:space="preserve">Recurring item. Do not remove from statement. </w:t>
      </w:r>
    </w:p>
    <w:p>
      <w:pPr>
        <w:pStyle w:val="Normal"/>
        <w:numPr>
          <w:ilvl w:val="0"/>
          <w:numId w:val="3"/>
        </w:numPr>
        <w:rPr>
          <w:sz w:val="20"/>
        </w:rPr>
      </w:pPr>
      <w:r>
        <w:rPr>
          <w:i/>
          <w:sz w:val="20"/>
        </w:rPr>
        <w:t xml:space="preserve">Under-funded Pension Obligation: </w:t>
      </w:r>
      <w:r>
        <w:rPr>
          <w:sz w:val="20"/>
        </w:rPr>
        <w:t xml:space="preserve">Non operating obligation. Potential liability for the company. Should not include in income statement. </w:t>
      </w:r>
    </w:p>
    <w:p>
      <w:pPr>
        <w:pStyle w:val="Normal"/>
        <w:numPr>
          <w:ilvl w:val="0"/>
          <w:numId w:val="3"/>
        </w:numPr>
        <w:rPr>
          <w:sz w:val="20"/>
        </w:rPr>
      </w:pPr>
      <w:r>
        <w:rPr>
          <w:i/>
          <w:sz w:val="20"/>
        </w:rPr>
        <w:t xml:space="preserve">Under-funded Post-retirement Benefits Obligation: </w:t>
      </w:r>
      <w:r>
        <w:rPr>
          <w:sz w:val="20"/>
        </w:rPr>
        <w:t>Amounts are material. Analyst should not include in income statement, as these do not seem to be related to operations in the current period.</w:t>
      </w:r>
    </w:p>
    <w:p>
      <w:pPr>
        <w:pStyle w:val="Normal"/>
        <w:rPr>
          <w:sz w:val="20"/>
        </w:rPr>
      </w:pPr>
      <w:r>
        <w:rPr>
          <w:sz w:val="20"/>
        </w:rPr>
        <w:t xml:space="preserve"> </w:t>
      </w:r>
    </w:p>
    <w:p>
      <w:pPr>
        <w:pStyle w:val="Heading6"/>
        <w:ind w:hanging="0" w:start="0"/>
        <w:rPr/>
      </w:pPr>
      <w:r>
        <w:rPr/>
        <w:t>Merck</w:t>
      </w:r>
    </w:p>
    <w:p>
      <w:pPr>
        <w:pStyle w:val="Normal"/>
        <w:numPr>
          <w:ilvl w:val="0"/>
          <w:numId w:val="2"/>
        </w:numPr>
        <w:rPr>
          <w:i/>
          <w:i/>
          <w:sz w:val="20"/>
        </w:rPr>
      </w:pPr>
      <w:r>
        <w:rPr>
          <w:i/>
          <w:sz w:val="20"/>
        </w:rPr>
        <w:t xml:space="preserve">Adoption of FAS 106, FAS 109, and FAS 112 (1192): </w:t>
      </w:r>
      <w:r>
        <w:rPr>
          <w:sz w:val="20"/>
        </w:rPr>
        <w:t xml:space="preserve">Non-recurring. Should be excluded from income statement for analysis. Some of the charges are arguably immaterial, but may as well exclude as one lump sum. </w:t>
      </w:r>
    </w:p>
    <w:p>
      <w:pPr>
        <w:pStyle w:val="Normal"/>
        <w:numPr>
          <w:ilvl w:val="0"/>
          <w:numId w:val="2"/>
        </w:numPr>
        <w:rPr>
          <w:i/>
          <w:i/>
          <w:sz w:val="20"/>
        </w:rPr>
      </w:pPr>
      <w:r>
        <w:rPr>
          <w:i/>
          <w:sz w:val="20"/>
        </w:rPr>
        <w:t xml:space="preserve">Restructuring Charge (1993): </w:t>
      </w:r>
      <w:r>
        <w:rPr>
          <w:sz w:val="20"/>
        </w:rPr>
        <w:t xml:space="preserve">Non-recurring item. Exclude from income from continuing operations. </w:t>
      </w:r>
    </w:p>
    <w:p>
      <w:pPr>
        <w:pStyle w:val="Normal"/>
        <w:numPr>
          <w:ilvl w:val="0"/>
          <w:numId w:val="2"/>
        </w:numPr>
        <w:rPr>
          <w:i/>
          <w:i/>
          <w:sz w:val="20"/>
        </w:rPr>
      </w:pPr>
      <w:r>
        <w:rPr>
          <w:i/>
          <w:sz w:val="20"/>
        </w:rPr>
        <w:t xml:space="preserve">Gain on Sale of Calgon Water Management (1993): </w:t>
      </w:r>
      <w:r>
        <w:rPr>
          <w:sz w:val="20"/>
        </w:rPr>
        <w:t>Exclude form income from operations since not part of core business.</w:t>
      </w:r>
    </w:p>
    <w:p>
      <w:pPr>
        <w:pStyle w:val="Normal"/>
        <w:numPr>
          <w:ilvl w:val="0"/>
          <w:numId w:val="2"/>
        </w:numPr>
        <w:rPr>
          <w:i/>
          <w:i/>
          <w:sz w:val="20"/>
        </w:rPr>
      </w:pPr>
      <w:r>
        <w:rPr>
          <w:i/>
          <w:sz w:val="20"/>
        </w:rPr>
        <w:t xml:space="preserve">Acquisition of Medco (1993): </w:t>
      </w:r>
      <w:r>
        <w:rPr>
          <w:sz w:val="20"/>
        </w:rPr>
        <w:t xml:space="preserve">We do not know what portion of Medco income is already included in the income statement so can not separate out Medco’s income. So must leave in there since all forward operations will include Medco contributions. </w:t>
      </w:r>
    </w:p>
    <w:p>
      <w:pPr>
        <w:pStyle w:val="Normal"/>
        <w:numPr>
          <w:ilvl w:val="0"/>
          <w:numId w:val="2"/>
        </w:numPr>
        <w:rPr>
          <w:i/>
          <w:i/>
          <w:sz w:val="20"/>
        </w:rPr>
      </w:pPr>
      <w:r>
        <w:rPr>
          <w:i/>
          <w:sz w:val="20"/>
        </w:rPr>
        <w:t xml:space="preserve">Under-funded Pension Obligation: </w:t>
      </w:r>
      <w:r>
        <w:rPr>
          <w:sz w:val="20"/>
        </w:rPr>
        <w:t xml:space="preserve">Non-operating. Should not include in income from operations. </w:t>
      </w:r>
    </w:p>
    <w:p>
      <w:pPr>
        <w:pStyle w:val="Normal"/>
        <w:numPr>
          <w:ilvl w:val="0"/>
          <w:numId w:val="2"/>
        </w:numPr>
        <w:rPr>
          <w:i/>
          <w:i/>
          <w:sz w:val="20"/>
        </w:rPr>
      </w:pPr>
      <w:r>
        <w:rPr>
          <w:i/>
          <w:sz w:val="20"/>
        </w:rPr>
        <w:t xml:space="preserve">Under-funded Post-retirement Benefits Obligation: </w:t>
      </w:r>
      <w:r>
        <w:rPr>
          <w:sz w:val="20"/>
        </w:rPr>
        <w:t xml:space="preserve">Non-operating. Should not include in income from operations. </w:t>
      </w:r>
    </w:p>
    <w:p>
      <w:pPr>
        <w:pStyle w:val="Normal"/>
        <w:numPr>
          <w:ilvl w:val="0"/>
          <w:numId w:val="2"/>
        </w:numPr>
        <w:rPr>
          <w:i/>
          <w:i/>
          <w:sz w:val="20"/>
        </w:rPr>
      </w:pPr>
      <w:r>
        <w:rPr>
          <w:i/>
          <w:sz w:val="20"/>
        </w:rPr>
        <w:t xml:space="preserve">Investment in Joint Ventures: </w:t>
      </w:r>
      <w:r>
        <w:rPr>
          <w:sz w:val="20"/>
        </w:rPr>
        <w:t xml:space="preserve">Recurring expense since JVs represent an explicit strategy for growth and will probably recur. Include in income from operations. </w:t>
      </w:r>
    </w:p>
    <w:p>
      <w:pPr>
        <w:pStyle w:val="Normal"/>
        <w:rPr>
          <w:i/>
          <w:i/>
          <w:sz w:val="20"/>
        </w:rPr>
      </w:pPr>
      <w:r>
        <w:rPr>
          <w:i/>
          <w:sz w:val="20"/>
        </w:rPr>
      </w:r>
    </w:p>
    <w:p>
      <w:pPr>
        <w:pStyle w:val="Heading6"/>
        <w:ind w:hanging="0" w:start="0"/>
        <w:rPr/>
      </w:pPr>
      <w:r>
        <w:rPr/>
        <w:t>Mylan</w:t>
      </w:r>
    </w:p>
    <w:p>
      <w:pPr>
        <w:pStyle w:val="Normal"/>
        <w:numPr>
          <w:ilvl w:val="0"/>
          <w:numId w:val="4"/>
        </w:numPr>
        <w:rPr>
          <w:i/>
          <w:i/>
          <w:sz w:val="20"/>
        </w:rPr>
      </w:pPr>
      <w:r>
        <w:rPr>
          <w:i/>
          <w:sz w:val="20"/>
        </w:rPr>
        <w:t xml:space="preserve">Acquisition of Bertek (1993): </w:t>
      </w:r>
      <w:r>
        <w:rPr>
          <w:sz w:val="20"/>
        </w:rPr>
        <w:t xml:space="preserve">Material, Non-recurring. Do not include in income from operations. </w:t>
      </w:r>
    </w:p>
    <w:p>
      <w:pPr>
        <w:pStyle w:val="Normal"/>
        <w:numPr>
          <w:ilvl w:val="0"/>
          <w:numId w:val="4"/>
        </w:numPr>
        <w:rPr>
          <w:i/>
          <w:i/>
          <w:sz w:val="20"/>
        </w:rPr>
      </w:pPr>
      <w:r>
        <w:rPr>
          <w:i/>
          <w:sz w:val="20"/>
        </w:rPr>
        <w:t xml:space="preserve">Adoption of FAS 109 (1994): </w:t>
      </w:r>
      <w:r>
        <w:rPr>
          <w:sz w:val="20"/>
        </w:rPr>
        <w:t xml:space="preserve">Not related to operations, but immaterial. Ideally would not include in income.  </w:t>
      </w:r>
    </w:p>
    <w:p>
      <w:pPr>
        <w:pStyle w:val="Normal"/>
        <w:numPr>
          <w:ilvl w:val="0"/>
          <w:numId w:val="4"/>
        </w:numPr>
        <w:rPr>
          <w:i/>
          <w:i/>
          <w:sz w:val="20"/>
        </w:rPr>
      </w:pPr>
      <w:r>
        <w:rPr>
          <w:i/>
          <w:sz w:val="20"/>
        </w:rPr>
        <w:t xml:space="preserve">Payment in connection with death of former chairman (1994): </w:t>
      </w:r>
      <w:r>
        <w:rPr>
          <w:sz w:val="20"/>
        </w:rPr>
        <w:t xml:space="preserve">Immaterial. Non-recurring. Can leave included. </w:t>
      </w:r>
    </w:p>
    <w:p>
      <w:pPr>
        <w:pStyle w:val="Normal"/>
        <w:numPr>
          <w:ilvl w:val="0"/>
          <w:numId w:val="4"/>
        </w:numPr>
        <w:rPr>
          <w:i/>
          <w:i/>
          <w:sz w:val="20"/>
        </w:rPr>
      </w:pPr>
      <w:r>
        <w:rPr>
          <w:i/>
          <w:sz w:val="20"/>
        </w:rPr>
        <w:t xml:space="preserve">Investment in Joint Ventures: </w:t>
      </w:r>
      <w:r>
        <w:rPr>
          <w:sz w:val="20"/>
        </w:rPr>
        <w:t xml:space="preserve">Recurring. Should include. However, since for JVs, assets and liabilities are not explicit in Mylan’s balance sheet, ratios may be skewed. </w:t>
      </w:r>
    </w:p>
    <w:p>
      <w:pPr>
        <w:pStyle w:val="Normal"/>
        <w:rPr>
          <w:i/>
          <w:i/>
          <w:sz w:val="20"/>
        </w:rPr>
      </w:pPr>
      <w:r>
        <w:rPr>
          <w:i/>
          <w:sz w:val="20"/>
        </w:rPr>
      </w:r>
    </w:p>
    <w:p>
      <w:pPr>
        <w:pStyle w:val="Normal"/>
        <w:rPr>
          <w:sz w:val="20"/>
        </w:rPr>
      </w:pPr>
      <w:r>
        <w:rPr>
          <w:sz w:val="20"/>
        </w:rPr>
      </w:r>
    </w:p>
    <w:sectPr>
      <w:headerReference w:type="default" r:id="rId2"/>
      <w:footerReference w:type="default" r:id="rId3"/>
      <w:type w:val="nextPage"/>
      <w:pgSz w:w="12240" w:h="15840"/>
      <w:pgMar w:left="1008" w:right="1008" w:gutter="0" w:header="72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Spring 2001</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260" w:leader="none"/>
      </w:tabs>
      <w:rPr/>
    </w:pPr>
    <w:r>
      <w:rPr>
        <w:sz w:val="20"/>
      </w:rPr>
      <w:t>E222 – Case Write-up #1</w:t>
    </w:r>
    <w:r>
      <w:rPr/>
      <w:tab/>
      <w:tab/>
      <w:t xml:space="preserve"> </w:t>
    </w:r>
    <w:r>
      <w:rPr>
        <w:sz w:val="20"/>
      </w:rPr>
      <w:t>Chin, Dasovich, Guinney, Sama, Vavrek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pBdr>
        <w:top w:val="single" w:sz="4" w:space="1" w:color="000000"/>
      </w:pBdr>
      <w:ind w:hanging="720" w:start="720" w:end="0"/>
      <w:outlineLvl w:val="1"/>
    </w:pPr>
    <w:rPr>
      <w:b/>
      <w:i/>
      <w:iCs/>
    </w:rPr>
  </w:style>
  <w:style w:type="paragraph" w:styleId="Heading3">
    <w:name w:val="heading 3"/>
    <w:basedOn w:val="Normal"/>
    <w:next w:val="Normal"/>
    <w:qFormat/>
    <w:pPr>
      <w:keepNext w:val="true"/>
      <w:numPr>
        <w:ilvl w:val="2"/>
        <w:numId w:val="1"/>
      </w:numPr>
      <w:pBdr>
        <w:top w:val="single" w:sz="4" w:space="1" w:color="000000"/>
      </w:pBdr>
      <w:outlineLvl w:val="2"/>
    </w:pPr>
    <w:rPr>
      <w:b/>
      <w:i/>
      <w:iCs/>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sz w:val="20"/>
    </w:rPr>
  </w:style>
  <w:style w:type="paragraph" w:styleId="Heading6">
    <w:name w:val="heading 6"/>
    <w:basedOn w:val="Normal"/>
    <w:next w:val="Normal"/>
    <w:qFormat/>
    <w:pPr>
      <w:keepNext w:val="true"/>
      <w:numPr>
        <w:ilvl w:val="5"/>
        <w:numId w:val="1"/>
      </w:numPr>
      <w:outlineLvl w:val="5"/>
    </w:pPr>
    <w:rPr>
      <w:sz w:val="20"/>
      <w:u w:val="single"/>
    </w:rPr>
  </w:style>
  <w:style w:type="character" w:styleId="WW8Num1z0">
    <w:name w:val="WW8Num1z0"/>
    <w:qFormat/>
    <w:rPr>
      <w:rFonts w:ascii="Wingdings" w:hAnsi="Wingdings" w:cs="Wingdings"/>
      <w:sz w:val="30"/>
    </w:rPr>
  </w:style>
  <w:style w:type="character" w:styleId="WW8Num2z0">
    <w:name w:val="WW8Num2z0"/>
    <w:qFormat/>
    <w:rPr/>
  </w:style>
  <w:style w:type="character" w:styleId="WW8Num3z0">
    <w:name w:val="WW8Num3z0"/>
    <w:qFormat/>
    <w:rPr>
      <w:rFonts w:ascii="Wingdings" w:hAnsi="Wingdings" w:cs="Wingdings"/>
      <w:sz w:val="30"/>
    </w:rPr>
  </w:style>
  <w:style w:type="character" w:styleId="WW8Num4z0">
    <w:name w:val="WW8Num4z0"/>
    <w:qFormat/>
    <w:rPr>
      <w:rFonts w:ascii="Wingdings" w:hAnsi="Wingdings" w:cs="Wingdings"/>
      <w:sz w:val="30"/>
    </w:rPr>
  </w:style>
  <w:style w:type="character" w:styleId="WW8Num5z0">
    <w:name w:val="WW8Num5z0"/>
    <w:qFormat/>
    <w:rPr>
      <w:rFonts w:ascii="Wingdings" w:hAnsi="Wingdings" w:cs="Wingdings"/>
      <w:sz w:val="30"/>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sz w:val="3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pBdr>
        <w:top w:val="single" w:sz="4" w:space="1" w:color="000000"/>
      </w:pBdr>
      <w:ind w:firstLine="720" w:start="0" w:end="0"/>
    </w:pPr>
    <w:rPr>
      <w:bCs/>
    </w:rPr>
  </w:style>
  <w:style w:type="paragraph" w:styleId="FootnoteText">
    <w:name w:val="footnote text"/>
    <w:basedOn w:val="Normal"/>
    <w:pPr/>
    <w:rPr>
      <w:sz w:val="20"/>
      <w:szCs w:val="20"/>
    </w:rPr>
  </w:style>
  <w:style w:type="paragraph" w:styleId="BodyText2">
    <w:name w:val="Body Text 2"/>
    <w:basedOn w:val="Normal"/>
    <w:qFormat/>
    <w:pPr/>
    <w:rPr>
      <w:i/>
      <w:iCs/>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2001-02-01T17:51:00Z</dcterms:created>
  <dc:creator>jdasovic</dc:creator>
  <dc:description/>
  <dc:language>en-CA</dc:language>
  <cp:lastModifiedBy>Anil Sama</cp:lastModifiedBy>
  <cp:lastPrinted>2001-01-29T15:35:00Z</cp:lastPrinted>
  <dcterms:modified xsi:type="dcterms:W3CDTF">2001-02-01T21:05:00Z</dcterms:modified>
  <cp:revision>21</cp:revision>
  <dc:subject/>
  <dc:title>MEMORANDUM</dc:title>
</cp:coreProperties>
</file>