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William Urquhart (Bar No. 140996 )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Kristen Bird (Bar No. 192863)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Michael T. Lifrak (Bar No. 210846)</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865 South Figueroa Street, 10th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Los Angeles, California  90017-2543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624-7707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624-0643 (fax)</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David Eiseman (Bar No. 114758)</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Diane C. Hutnyan (Bar No. 190081)</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201 Sansome Street, 6th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California  94104-2303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986-5700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986-5707 (fax)</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Attorneys for 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UNITED STATES DISTRICT COURT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NORTHERN DISTRICT OF CALIFORNIA</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DIVISION</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headerReference w:type="default" r:id="rId2"/>
          <w:footerReference w:type="default" r:id="rId3"/>
          <w:type w:val="nextPage"/>
          <w:pgSz w:w="12240" w:h="15840"/>
          <w:pgMar w:left="2160" w:right="720" w:gutter="0" w:header="778" w:top="11925" w:footer="576" w:bottom="1018"/>
          <w:pgNumType w:fmt="decimal"/>
          <w:formProt w:val="false"/>
          <w:textDirection w:val="lrTb"/>
          <w:docGrid w:type="default" w:linePitch="600" w:charSpace="32768"/>
        </w:sectPr>
      </w:pP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REGENTS OF THE UNIVERSITY OF CALIFORNIA and THE BOARD OF TRUSTEES OF THE CALIFORNIA STATE UNIVERSITY</w:t>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Plaintiffs,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u w:val="single"/>
        </w:rPr>
      </w:pPr>
      <w:r>
        <w:rPr/>
      </w:r>
    </w:p>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br w:type="column"/>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pPr>
      <w:r>
        <w:br w:type="column"/>
      </w:r>
      <w:r>
        <w:rPr>
          <w:rFonts w:eastAsia="Times New Roman" w:cs="Times New Roman" w:ascii="Times New Roman" w:hAnsi="Times New Roman"/>
          <w:color w:val="000000"/>
          <w:sz w:val="24"/>
          <w:szCs w:val="24"/>
        </w:rPr>
        <w:t xml:space="preserve">CASE NO. </w:t>
      </w:r>
      <w:r>
        <w:rPr>
          <w:rFonts w:eastAsia="Times New Roman" w:cs="Times New Roman" w:ascii="Times New Roman" w:hAnsi="Times New Roman"/>
          <w:color w:val="000000"/>
          <w:sz w:val="24"/>
          <w:szCs w:val="24"/>
        </w:rPr>
        <w:t>C  01  1006 PJH</w:t>
      </w:r>
    </w:p>
    <w:p>
      <w:pPr>
        <w:pStyle w:val="Normal"/>
        <w:bidi w:val="0"/>
        <w:spacing w:lineRule="auto" w:line="240" w:before="0" w:after="0"/>
        <w:ind w:firstLine="4032"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DECLARATION OF HOWARD W. PIFER III IN SUPPORT OF DEFENDANT'S MEMORANDUM OF POINTS AND AUTHORITY </w:t>
      </w:r>
      <w:r>
        <w:rPr>
          <w:rFonts w:eastAsia="Times New Roman" w:cs="Times New Roman" w:ascii="Times New Roman" w:hAnsi="Times New Roman"/>
          <w:color w:val="000000"/>
          <w:sz w:val="24"/>
          <w:szCs w:val="24"/>
        </w:rPr>
        <w:t>OPPOSING PLAINTIFFS' MOTION TO SHORTEN TIME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type w:val="continuous"/>
          <w:pgSz w:w="12240" w:h="15840"/>
          <w:pgMar w:left="2160" w:right="720" w:gutter="0" w:header="778" w:top="11925" w:footer="576" w:bottom="1018"/>
          <w:cols w:num="3" w:equalWidth="false" w:sep="false">
            <w:col w:w="4714" w:space="36"/>
            <w:col w:w="132" w:space="432"/>
            <w:col w:w="4044"/>
          </w:cols>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sectPr>
          <w:type w:val="continuous"/>
          <w:pgSz w:w="12240" w:h="15840"/>
          <w:pgMar w:left="2160" w:right="720" w:gutter="0" w:header="778" w:top="11925" w:footer="576" w:bottom="1018"/>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center"/>
        <w:rPr>
          <w:rFonts w:ascii="TmsRmn" w:hAnsi="TmsRmn" w:eastAsia="TmsRmn" w:cs="TmsRmn"/>
          <w:b/>
          <w:bCs/>
          <w:color w:val="000000"/>
          <w:sz w:val="24"/>
          <w:szCs w:val="24"/>
          <w:u w:val="single"/>
        </w:rPr>
      </w:pPr>
      <w:r>
        <w:rPr>
          <w:rFonts w:eastAsia="TmsRmn" w:cs="TmsRmn" w:ascii="TmsRmn" w:hAnsi="TmsRmn"/>
          <w:b/>
          <w:bCs/>
          <w:color w:val="000000"/>
          <w:sz w:val="24"/>
          <w:szCs w:val="24"/>
          <w:u w:val="single"/>
        </w:rPr>
        <w:t>DECLARATION OF HAROLD HOWARD W. PIFER,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I, Harold Howard W. Pifer, III, declare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1.  </w:t>
        <w:tab/>
        <w:t xml:space="preserve">I am an economist and expert in the electricity supply industry.  In recent years, my primary professional focus has been in the areas of electric utility industry restructuring (both internationally and in the United States) and developing strategic responses to a changing marketplace.  I have been an expert witness on matters relating to electric utilities, having testified in utility ratemaking proceedings, on resource planning issues, on competition issues and on the impact of environmental regulations on the electric utility industry.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msRmn" w:hAnsi="TmsRmn" w:eastAsia="TmsRmn" w:cs="TmsRmn"/>
          <w:color w:val="000000"/>
          <w:sz w:val="24"/>
          <w:szCs w:val="24"/>
        </w:rPr>
      </w:pPr>
      <w:r>
        <w:rPr>
          <w:rFonts w:eastAsia="TmsRmn" w:cs="TmsRmn" w:ascii="TmsRmn" w:hAnsi="TmsRmn"/>
          <w:color w:val="000000"/>
          <w:sz w:val="24"/>
          <w:szCs w:val="24"/>
        </w:rPr>
        <w:t>---------------------------------.  I am an expert in --------------------.  A copy of my curriculum vitae, including matters in which I have testified in the last four years, is attached hereto as Exhibit A.  [Do you have a list of matters you have testified 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msRmn" w:hAnsi="TmsRmn" w:eastAsia="TmsRmn" w:cs="TmsRm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msRmn" w:hAnsi="TmsRmn" w:eastAsia="TmsRmn" w:cs="TmsRm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2. </w:t>
        <w:tab/>
        <w:t xml:space="preserve"> I have been retained by Enron to provide my expert opinion with respect to Regents of the University of California and the Board of Trustees of the California State University v. Enron Energy Services, Inc.   In forming this opinion, I have reviewed read the plaintiffs' Motion for Preliminary Injunction, the Memorandum of Points and Authorities, as well as the seven declarations filed in support of the motion.  I have also reviewed the Motion to Shorten tTime.  My declaration is principally addressed to the Motion to Shorten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msRmn" w:cs="TmsRmn" w:ascii="TmsRmn" w:hAnsi="TmsRmn"/>
          <w:color w:val="000000"/>
          <w:sz w:val="24"/>
          <w:szCs w:val="24"/>
        </w:rPr>
        <w:t xml:space="preserve">3.  </w:t>
        <w:tab/>
        <w:t xml:space="preserve">My understanding is that Tthe Motion to Shorten Time is predicated on the notion that the Universities will suffer irreparable harm if the hearing on the motion for preliminary injunction takes place in accordance with the Local Rules of the Northern California, </w:t>
      </w:r>
      <w:r>
        <w:rPr>
          <w:rFonts w:eastAsia="TmsRmn" w:cs="TmsRmn" w:ascii="TmsRmn" w:hAnsi="TmsRmn"/>
          <w:color w:val="000000"/>
          <w:sz w:val="24"/>
          <w:szCs w:val="24"/>
          <w:u w:val="single"/>
        </w:rPr>
        <w:t>i.e.</w:t>
      </w:r>
      <w:r>
        <w:rPr>
          <w:rFonts w:eastAsia="TmsRmn" w:cs="TmsRmn" w:ascii="TmsRmn" w:hAnsi="TmsRmn"/>
          <w:color w:val="000000"/>
          <w:sz w:val="24"/>
          <w:szCs w:val="24"/>
        </w:rPr>
        <w:t xml:space="preserve"> 35 days after the motion is served.  My opinion is limited to the economic question of whether the Universities will suffer irreparable harm during this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Fonts w:eastAsia="TmsRmn" w:cs="TmsRmn" w:ascii="TmsRmn" w:hAnsi="TmsRmn"/>
          <w:color w:val="000000"/>
          <w:sz w:val="24"/>
          <w:szCs w:val="24"/>
          <w:u w:val="single"/>
        </w:rPr>
        <w:t>There Is No Increased Threat of Power Disruption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4.   The most significant danger identified by the Universities is the claim that they are now at greater risk of losing power because electrical service is being provided by the "cash strapped" utilities (PG&amp;E and Southern California Edison) as opposed to Enron.  This claim is either disingenuous or ill-informed.  I find it difficult to comprehend that a sophisticated purchaser such as the University systems would believe that they are at risk to lose power based on the supplier of electricitythis.  The Universities' contention represents a fundamental misunderstanding of how the California market electrical grid operates and the financial arrangements currently in place to pay for the state's electricity needs.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5.  </w:t>
        <w:tab/>
        <w:t>Virtually every consumer of electricity in California draws its electricity from power that is placed into the  a gridtransmission system that is controlled by the California ISO (CA ISO).  Power to the transmission grid is supplied by a large number of power producers and marketers, including Enron.  The power is then distributed by utilities such as PG&amp;E and Southern California Edison.  Customers throughout California obtain their power from the CA ISO.  In much the same way that all customers of a city water service might draw water from a common reservoir, all electricity customers in a given area draw electricity from the gridWhether the customers purchase electricity from Enron, PG&amp;E, or another provider, such arrangements are merely financial, while the physical delivery of the power requires energy to be available from the CA ISO and distributed by the utilities such as PG&amp;E and Southern California Edison. all the power for that area is distributed through the same grid Because all the different energy providers place energy into the common pool grid, the electricity any individual actually receives could come from any source.  There is no way to say that customer "A" will get Enron power, customer "B" will get PG&amp;E power, and so on.  Every consumer draws from the common electricity "reservoir," but they are billed by the particular entity with which they have contracted.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pPr>
      <w:r>
        <w:rPr>
          <w:rFonts w:eastAsia="TmsRmn" w:cs="TmsRmn" w:ascii="TmsRmn" w:hAnsi="TmsRmn"/>
          <w:color w:val="000000"/>
          <w:sz w:val="24"/>
          <w:szCs w:val="24"/>
        </w:rPr>
        <w:t xml:space="preserve">6. </w:t>
        <w:tab/>
        <w:t xml:space="preserve"> If there is an insufficient amount of power under the control of the CA ISO flowing to the grid system to service all customers, there are protocols to decide who gets power and who does not.  These protocols determine who gets affected by the so-called "rolling blackouts," which occur during Stage 3 Alerts.  Attached as Exhibit B to this Declaration is a true and correct copy of a document from the CA ISO website at www.caiso.com describing how the CA ISO works.  The system that determines which sets of customers will lose power is very complex.  For instance, power would not be cut off to a hospital except under the most extreme circumstances.  However, the objective of the system protocols is to treat all similarly situated customers identically.  Under no circumstances are any preferences made on the basis of the entity the consumer has contracted with, </w:t>
      </w:r>
      <w:r>
        <w:rPr>
          <w:rFonts w:eastAsia="TmsRmn" w:cs="TmsRmn" w:ascii="TmsRmn" w:hAnsi="TmsRmn"/>
          <w:color w:val="000000"/>
          <w:sz w:val="24"/>
          <w:szCs w:val="24"/>
          <w:u w:val="single"/>
        </w:rPr>
        <w:t>i.e.</w:t>
      </w:r>
      <w:r>
        <w:rPr>
          <w:rFonts w:eastAsia="TmsRmn" w:cs="TmsRmn" w:ascii="TmsRmn" w:hAnsi="TmsRmn"/>
          <w:color w:val="000000"/>
          <w:sz w:val="24"/>
          <w:szCs w:val="24"/>
        </w:rPr>
        <w:t xml:space="preserve">, PG&amp;E customers lose power before Enron customers, etc.  Thus, it would make absolutely no difference to the Universities' chances of experiencing power interruptions whether Enron was supplying power to the grid, the Utilities were, or any other entity was.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7. </w:t>
        <w:tab/>
        <w:t>The Universities also claim they are at greater risk because of the financial problems with the Utilities.   Thatis is not so.  As a result of the well publicized defaults by PG&amp;E and Southern California Edison (the "Utilities"), these entities are no longer purchasing the bulk of the electricity that is supplied to the grid.  Instead, the State of California is currently purchasing the electricity.  Thus, there would have to be a complete default by the State of California for electricity to stop flowing into the grid.  I am not aware of any facts that would suggest there is any threat of a default by the State.  Despite all the concerns about the failings of the California market, all power available to the CA ISO is being delivered to customer load.  There is no expectation that this situation will change, and certainly the The chance of it happening before April 13 date, (the nominal date on which this hearing would take place under the Rules) does not create a special crisis or concern about the delivery of power to the Universities.is virtually non-existent   I saw nothing in the papers filed by the Universities that would tend to undermine thatis opinion.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8.  </w:t>
        <w:tab/>
        <w:t xml:space="preserve">The bottom line is that by returning the Universities to Utility service Enron has not increased, decreased or changedaltered in any way the chances that the Universities' supply of power will be interrupted.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Fonts w:eastAsia="TmsRmn" w:cs="TmsRmn" w:ascii="TmsRmn" w:hAnsi="TmsRmn"/>
          <w:color w:val="000000"/>
          <w:sz w:val="24"/>
          <w:szCs w:val="24"/>
          <w:u w:val="single"/>
        </w:rPr>
        <w:t xml:space="preserve">Any Other Damage Would Be Quantifiable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Fonts w:eastAsia="TmsRmn" w:cs="TmsRmn" w:ascii="TmsRmn" w:hAnsi="TmsRmn"/>
          <w:color w:val="000000"/>
          <w:sz w:val="24"/>
          <w:szCs w:val="24"/>
          <w:u w:val="single"/>
        </w:rPr>
        <w:t>And Compensable By Money Damages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center"/>
        <w:rPr>
          <w:rFonts w:ascii="TmsRmn" w:hAnsi="TmsRmn" w:eastAsia="TmsRmn" w:cs="TmsRmn"/>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msRmn" w:hAnsi="TmsRmn" w:eastAsia="TmsRmn" w:cs="TmsRm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9.</w:t>
        <w:tab/>
        <w:t>The Universities also claim they may suffer huge monetary losses as a result of Enron's returning the Universities to Utility service.  The theory underlying this claim is that the Universities will be saddled with the costs of bailing out the Utilities.  This cost will allegedly be reflected in increased bills to the Utility customers.  The Universities further theorize that, by returning them to Utility service, the Universities will be unable to purchase electricity from energy service providers other than the utilities.  The Universities contend they would be able to secure cheaper energy in the open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msRmn" w:hAnsi="TmsRmn" w:eastAsia="TmsRmn" w:cs="TmsRm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10. </w:t>
        <w:tab/>
        <w:t>Assuming, arguendo,Even  that if the Universities' assumptions claims prove accurate, the calculation of economic damages arising from such facts are relatively straightforward it will be relatively simple for me or a similarly trained economist to calculate.  Quite simply, to the extent such a claim can be corroborated, economic damages are calculable as the difference between the cost of buying electricity on the open market and the amounts charged by the Utilities, adjusted to reflect specific contractual elements reflected in the agreement between Enron and the Universities.  In fact, the Universities themselves appear to have calculated what they allege these potential losses to be in a press release that accompanied the filing of this lawsuit.  A true and correct copy of this press release is attached to this declaration as 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msRmn" w:hAnsi="TmsRmn" w:eastAsia="TmsRmn" w:cs="TmsRmn"/>
          <w:color w:val="000000"/>
          <w:sz w:val="24"/>
          <w:szCs w:val="24"/>
        </w:rPr>
      </w:pPr>
      <w:r>
        <w:rPr>
          <w:rFonts w:eastAsia="TmsRmn" w:cs="TmsRmn" w:ascii="TmsRmn" w:hAnsi="TmsRmn"/>
          <w:color w:val="000000"/>
          <w:sz w:val="24"/>
          <w:szCs w:val="24"/>
        </w:rPr>
        <w:t xml:space="preserve">11.  </w:t>
        <w:tab/>
        <w:t xml:space="preserve">The Universities identify other possible damages resulting from the loss of sophisticated electricity monitoring technology that Enron is providing.  It is my understanding that Enron has committed in writing to continue to provide these services.  However, even if Enron did not, any damage to the Universities is also capable of being calculated and compensated by monetary damages.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declare under penalty of perjury of the laws of the United States of America that the foregoing is true and correct, and that the Declaration was executed this 14th day of March 2001, at Scottsdale, Arizona.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752" w:leader="none"/>
          <w:tab w:val="left" w:pos="5040" w:leader="none"/>
          <w:tab w:val="center" w:pos="7020" w:leader="none"/>
          <w:tab w:val="right" w:pos="10080" w:leader="none"/>
        </w:tabs>
        <w:bidi w:val="0"/>
        <w:spacing w:lineRule="auto" w:line="240" w:before="0" w:after="0"/>
        <w:ind w:firstLine="5040" w:start="0" w:end="0"/>
        <w:jc w:val="end"/>
        <w:rPr>
          <w:rFonts w:ascii="Times New Roman" w:hAnsi="Times New Roman" w:eastAsia="Times New Roman" w:cs="Times New Roman"/>
          <w:color w:val="000000"/>
          <w:sz w:val="24"/>
          <w:szCs w:val="24"/>
        </w:rPr>
      </w:pPr>
      <w:r>
        <w:rPr/>
      </w:r>
    </w:p>
    <w:p>
      <w:pPr>
        <w:pStyle w:val="Normal"/>
        <w:tabs>
          <w:tab w:val="clear" w:pos="720"/>
          <w:tab w:val="left" w:pos="4752" w:leader="none"/>
          <w:tab w:val="left" w:pos="5040" w:leader="none"/>
          <w:tab w:val="center" w:pos="7020" w:leader="none"/>
          <w:tab w:val="right" w:pos="10080" w:leader="none"/>
        </w:tabs>
        <w:bidi w:val="0"/>
        <w:spacing w:lineRule="auto" w:line="240" w:before="0" w:after="0"/>
        <w:ind w:firstLine="50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Howard W. Pifer, III</w:t>
      </w:r>
    </w:p>
    <w:sectPr>
      <w:headerReference w:type="default" r:id="rId4"/>
      <w:footerReference w:type="default" r:id="rId5"/>
      <w:type w:val="nextPage"/>
      <w:pgSz w:w="12240" w:h="15840"/>
      <w:pgMar w:left="2160" w:right="720" w:gutter="0" w:header="778" w:top="11649" w:footer="576" w:bottom="129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TmsRmn">
    <w:altName w:val="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DECLARATION OF HOWARD W. PIFER, III</w:t>
    </w:r>
  </w:p>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Case No. C 01 1006 PJH</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DECLARATION OF HOWARD W. PIFER, III</w:t>
    </w:r>
  </w:p>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Case No. C 01 1006 PJH</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31</w:t>
    </w:r>
    <w:r>
      <w:rPr>
        <w:sz w:val="24"/>
        <w:szCs w:val="24"/>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