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4"/>
        </w:rPr>
      </w:pPr>
      <w:r>
        <w:rPr>
          <w:sz w:val="24"/>
        </w:rPr>
      </w:r>
    </w:p>
    <w:p>
      <w:pPr>
        <w:pStyle w:val="Normal"/>
        <w:jc w:val="center"/>
        <w:rPr>
          <w:sz w:val="24"/>
        </w:rPr>
      </w:pPr>
      <w:r>
        <w:rPr>
          <w:sz w:val="24"/>
        </w:rPr>
        <w:t>Attachment A</w:t>
      </w:r>
    </w:p>
    <w:p>
      <w:pPr>
        <w:pStyle w:val="Normal"/>
        <w:jc w:val="center"/>
        <w:rPr>
          <w:b/>
          <w:sz w:val="24"/>
          <w:u w:val="single"/>
        </w:rPr>
      </w:pPr>
      <w:r>
        <w:rPr>
          <w:b/>
          <w:sz w:val="24"/>
          <w:u w:val="single"/>
        </w:rPr>
        <w:t>Gas Purchase and Field Services Proposal</w:t>
      </w:r>
    </w:p>
    <w:p>
      <w:pPr>
        <w:pStyle w:val="Normal"/>
        <w:rPr>
          <w:b/>
          <w:sz w:val="24"/>
          <w:u w:val="single"/>
        </w:rPr>
      </w:pPr>
      <w:r>
        <w:rPr>
          <w:b/>
          <w:sz w:val="24"/>
          <w:u w:val="single"/>
        </w:rPr>
      </w:r>
    </w:p>
    <w:p>
      <w:pPr>
        <w:pStyle w:val="Normal"/>
        <w:rPr/>
      </w:pPr>
      <w:r>
        <w:rPr/>
      </w:r>
    </w:p>
    <w:p>
      <w:pPr>
        <w:pStyle w:val="Normal"/>
        <w:rPr/>
      </w:pPr>
      <w:r>
        <w:rPr/>
      </w:r>
    </w:p>
    <w:p>
      <w:pPr>
        <w:pStyle w:val="Normal"/>
        <w:rPr/>
      </w:pPr>
      <w:r>
        <w:rPr/>
      </w:r>
    </w:p>
    <w:p>
      <w:pPr>
        <w:pStyle w:val="Normal"/>
        <w:rPr/>
      </w:pPr>
      <w:r>
        <w:rPr/>
        <w:tab/>
        <w:tab/>
        <w:tab/>
        <w:tab/>
        <w:tab/>
        <w:tab/>
        <w:tab/>
      </w:r>
      <w:r>
        <w:rPr>
          <w:b/>
        </w:rPr>
        <w:t>CONFIDENTIAL</w:t>
      </w:r>
    </w:p>
    <w:p>
      <w:pPr>
        <w:pStyle w:val="Normal"/>
        <w:rPr/>
      </w:pPr>
      <w:r>
        <w:rPr/>
        <w:tab/>
        <w:tab/>
        <w:tab/>
        <w:tab/>
        <w:tab/>
        <w:tab/>
        <w:tab/>
      </w:r>
    </w:p>
    <w:p>
      <w:pPr>
        <w:pStyle w:val="Normal"/>
        <w:ind w:firstLine="720" w:start="4320" w:end="0"/>
        <w:rPr/>
      </w:pPr>
      <w:r>
        <w:rPr/>
        <w:t>Fax # 303.893.1472</w:t>
      </w:r>
    </w:p>
    <w:p>
      <w:pPr>
        <w:pStyle w:val="Normal"/>
        <w:ind w:firstLine="720" w:start="4320" w:end="0"/>
        <w:rPr/>
      </w:pPr>
      <w:r>
        <w:rPr/>
      </w:r>
    </w:p>
    <w:p>
      <w:pPr>
        <w:pStyle w:val="InsideAddressName"/>
        <w:rPr/>
      </w:pPr>
      <w:r>
        <w:rPr/>
        <w:t>Mr. Bill Whitaker</w:t>
        <w:tab/>
        <w:tab/>
        <w:tab/>
        <w:tab/>
        <w:tab/>
      </w:r>
    </w:p>
    <w:p>
      <w:pPr>
        <w:pStyle w:val="InsideAddressName"/>
        <w:rPr/>
      </w:pPr>
      <w:r>
        <w:rPr/>
        <w:t>Petrogulf Corporation</w:t>
        <w:tab/>
        <w:tab/>
      </w:r>
    </w:p>
    <w:p>
      <w:pPr>
        <w:pStyle w:val="InsideAddressName"/>
        <w:rPr/>
      </w:pPr>
      <w:r>
        <w:rPr/>
        <w:t>518 17</w:t>
      </w:r>
      <w:r>
        <w:rPr>
          <w:vertAlign w:val="superscript"/>
        </w:rPr>
        <w:t>th</w:t>
      </w:r>
      <w:r>
        <w:rPr/>
        <w:t xml:space="preserve"> Street, Suite 1455</w:t>
      </w:r>
    </w:p>
    <w:p>
      <w:pPr>
        <w:pStyle w:val="InsideAddressName"/>
        <w:rPr/>
      </w:pPr>
      <w:r>
        <w:rPr/>
        <w:t>Denver, CO  80202</w:t>
      </w:r>
    </w:p>
    <w:p>
      <w:pPr>
        <w:pStyle w:val="InsideAddress"/>
        <w:rPr/>
      </w:pPr>
      <w:r>
        <w:rPr/>
      </w:r>
    </w:p>
    <w:p>
      <w:pPr>
        <w:pStyle w:val="Salutation"/>
        <w:rPr/>
      </w:pPr>
      <w:r>
        <w:fldChar w:fldCharType="begin"/>
      </w:r>
      <w:r>
        <w:rPr/>
        <w:instrText xml:space="preserve"> AUTOTEXTLIST </w:instrText>
      </w:r>
      <w:r>
        <w:rPr/>
      </w:r>
      <w:r>
        <w:rPr/>
        <w:fldChar w:fldCharType="separate"/>
      </w:r>
      <w:r>
        <w:rPr/>
        <w:t>Dear Bill:</w:t>
      </w:r>
      <w:r/>
      <w:r>
        <w:rPr/>
        <w:fldChar w:fldCharType="end"/>
      </w:r>
      <w:r>
        <w:rPr/>
      </w:r>
    </w:p>
    <w:p>
      <w:pPr>
        <w:pStyle w:val="Normal"/>
        <w:rPr/>
      </w:pPr>
      <w:r>
        <w:rPr/>
      </w:r>
    </w:p>
    <w:p>
      <w:pPr>
        <w:pStyle w:val="Normal"/>
        <w:jc w:val="both"/>
        <w:rPr/>
      </w:pPr>
      <w:r>
        <w:rPr/>
        <w:t>I appreciate the opportunity to present the services offered by Enron Capital &amp; Trade Resources Corp. and Enron Midstream Services, L.L.C. (collectively “</w:t>
      </w:r>
      <w:r>
        <w:rPr>
          <w:u w:val="single"/>
        </w:rPr>
        <w:t>Enron</w:t>
      </w:r>
      <w:r>
        <w:rPr/>
        <w:t>”) in the Powder River Basin.</w:t>
      </w:r>
    </w:p>
    <w:p>
      <w:pPr>
        <w:pStyle w:val="Normal"/>
        <w:jc w:val="both"/>
        <w:rPr/>
      </w:pPr>
      <w:r>
        <w:rPr/>
      </w:r>
    </w:p>
    <w:p>
      <w:pPr>
        <w:pStyle w:val="Normal"/>
        <w:jc w:val="both"/>
        <w:rPr/>
      </w:pPr>
      <w:r>
        <w:rPr/>
        <w:t>In consideration for an exclusive dedication of Petrogulf’s acreage in 47N/72W and 47N/73W in the Powder River Basin, Enron proposes to the following terms for your review:</w:t>
      </w:r>
    </w:p>
    <w:p>
      <w:pPr>
        <w:pStyle w:val="Normal"/>
        <w:jc w:val="both"/>
        <w:rPr/>
      </w:pPr>
      <w:r>
        <w:rPr/>
      </w:r>
    </w:p>
    <w:p>
      <w:pPr>
        <w:pStyle w:val="Heading4"/>
        <w:ind w:hanging="0" w:start="0"/>
        <w:jc w:val="both"/>
        <w:rPr/>
      </w:pPr>
      <w:r>
        <w:rPr/>
        <w:t>Marketing/Gas Purchasing</w:t>
      </w:r>
    </w:p>
    <w:p>
      <w:pPr>
        <w:pStyle w:val="Normal"/>
        <w:ind w:start="360" w:end="0"/>
        <w:jc w:val="both"/>
        <w:rPr>
          <w:sz w:val="24"/>
        </w:rPr>
      </w:pPr>
      <w:r>
        <w:rPr>
          <w:sz w:val="24"/>
        </w:rPr>
      </w:r>
    </w:p>
    <w:p>
      <w:pPr>
        <w:pStyle w:val="Normal"/>
        <w:numPr>
          <w:ilvl w:val="0"/>
          <w:numId w:val="8"/>
        </w:numPr>
        <w:jc w:val="both"/>
        <w:rPr>
          <w:sz w:val="24"/>
        </w:rPr>
      </w:pPr>
      <w:r>
        <w:rPr/>
        <w:t>Enron will purchase up to 20,000 MMBtu/day of Petrogulf’s gas production at the discharge of Petrogulf’s field screw compression facilities (or other agreeable point) using the following volume and price mechanism:</w:t>
      </w:r>
    </w:p>
    <w:p>
      <w:pPr>
        <w:pStyle w:val="Normal"/>
        <w:ind w:start="360" w:end="0"/>
        <w:jc w:val="both"/>
        <w:rPr>
          <w:sz w:val="24"/>
        </w:rPr>
      </w:pPr>
      <w:r>
        <w:rPr>
          <w:sz w:val="24"/>
        </w:rPr>
      </w:r>
    </w:p>
    <w:p>
      <w:pPr>
        <w:pStyle w:val="Normal"/>
        <w:numPr>
          <w:ilvl w:val="0"/>
          <w:numId w:val="6"/>
        </w:numPr>
        <w:jc w:val="both"/>
        <w:rPr>
          <w:b/>
        </w:rPr>
      </w:pPr>
      <w:r>
        <w:rPr>
          <w:b/>
        </w:rPr>
        <w:t xml:space="preserve">80% of Petrogulf’s monthly production availability will be purchased </w:t>
      </w:r>
      <w:r>
        <w:rPr>
          <w:b/>
          <w:u w:val="single"/>
        </w:rPr>
        <w:t>baseload</w:t>
      </w:r>
    </w:p>
    <w:p>
      <w:pPr>
        <w:pStyle w:val="Normal"/>
        <w:numPr>
          <w:ilvl w:val="0"/>
          <w:numId w:val="9"/>
        </w:numPr>
        <w:jc w:val="both"/>
        <w:rPr>
          <w:sz w:val="24"/>
        </w:rPr>
      </w:pPr>
      <w:r>
        <w:rPr/>
        <w:t xml:space="preserve">The volume of Petrogulf’s production equivalent to 80% of Petrogulf’s total monthly availability, will be purchased for Inside FERC first-of-month CIG Index </w:t>
      </w:r>
      <w:r>
        <w:rPr>
          <w:i/>
        </w:rPr>
        <w:t>plus</w:t>
      </w:r>
      <w:r>
        <w:rPr/>
        <w:t xml:space="preserve"> $0.11 per MMBtu (less WIC-Medicine Bow transportation rates, including fuel and surcharges, and the field services fee and fuel and shrink specified below).</w:t>
      </w:r>
    </w:p>
    <w:p>
      <w:pPr>
        <w:pStyle w:val="Normal"/>
        <w:ind w:start="1440" w:end="0"/>
        <w:jc w:val="both"/>
        <w:rPr>
          <w:sz w:val="24"/>
        </w:rPr>
      </w:pPr>
      <w:r>
        <w:rPr>
          <w:sz w:val="24"/>
        </w:rPr>
      </w:r>
    </w:p>
    <w:p>
      <w:pPr>
        <w:pStyle w:val="Normal"/>
        <w:numPr>
          <w:ilvl w:val="0"/>
          <w:numId w:val="4"/>
        </w:numPr>
        <w:jc w:val="both"/>
        <w:rPr>
          <w:sz w:val="24"/>
        </w:rPr>
      </w:pPr>
      <w:r>
        <w:rPr>
          <w:b/>
        </w:rPr>
        <w:t xml:space="preserve">20% of Petrogulf’s monthly production availability will be purchased </w:t>
      </w:r>
      <w:r>
        <w:rPr>
          <w:b/>
          <w:u w:val="single"/>
        </w:rPr>
        <w:t>swing</w:t>
      </w:r>
    </w:p>
    <w:p>
      <w:pPr>
        <w:pStyle w:val="Normal"/>
        <w:numPr>
          <w:ilvl w:val="0"/>
          <w:numId w:val="9"/>
        </w:numPr>
        <w:jc w:val="both"/>
        <w:rPr>
          <w:sz w:val="24"/>
        </w:rPr>
      </w:pPr>
      <w:r>
        <w:rPr/>
        <w:t xml:space="preserve">The last 20% of Petrogulf’s available production will be purchased at a Gas Daily CIG Index minus $0.025 per MMBtu (less the field services fee and fuel and shrink specified below).  This daily market sensitive pricing scheme is used in consideration for volumetric swings in production due to new well-connects, de-watering, compression and pipeline maintenance, freeze-offs, etc. </w:t>
      </w:r>
    </w:p>
    <w:p>
      <w:pPr>
        <w:pStyle w:val="Normal"/>
        <w:jc w:val="both"/>
        <w:rPr>
          <w:sz w:val="24"/>
        </w:rPr>
      </w:pPr>
      <w:r>
        <w:rPr>
          <w:sz w:val="24"/>
        </w:rPr>
      </w:r>
    </w:p>
    <w:p>
      <w:pPr>
        <w:pStyle w:val="Normal"/>
        <w:numPr>
          <w:ilvl w:val="0"/>
          <w:numId w:val="2"/>
        </w:numPr>
        <w:jc w:val="both"/>
        <w:rPr>
          <w:sz w:val="24"/>
        </w:rPr>
      </w:pPr>
      <w:r>
        <w:rPr/>
        <w:t>The term of this gas purchasing provision will be for two (2) years from the in-service date of WIC’s Medicine Bow Lateral.  At least sixty (60) days prior to the completion of this initial term, both parties will meet to negotiate a mutually agreeable extension of these marketing terms.  If no agreement can be reached, Petrogulf will have the right to solicit bids from third parties for their production at Glenrock.  Enron will retain a preferential right to match any bona-fide third party bid.  If Enron elects not to match such bid, Enron will gather and re-deliver Petrogulf’s production at Glenrock under a separate field services agreement in accordance with the terms and fee specified below.</w:t>
      </w:r>
    </w:p>
    <w:p>
      <w:pPr>
        <w:pStyle w:val="Normal"/>
        <w:ind w:start="360" w:end="0"/>
        <w:jc w:val="both"/>
        <w:rPr>
          <w:sz w:val="24"/>
        </w:rPr>
      </w:pPr>
      <w:r>
        <w:rPr>
          <w:sz w:val="24"/>
        </w:rPr>
      </w:r>
    </w:p>
    <w:p>
      <w:pPr>
        <w:pStyle w:val="Normal"/>
        <w:numPr>
          <w:ilvl w:val="0"/>
          <w:numId w:val="3"/>
        </w:numPr>
        <w:jc w:val="both"/>
        <w:rPr>
          <w:sz w:val="24"/>
        </w:rPr>
      </w:pPr>
      <w:r>
        <w:rPr/>
        <w:t>Prior to the in-service date of WIC’s Medicine Bow Lateral, all gas purchase volume and pricing activities will be on a mutually agreed upon basis.  If the parties cannot agree on a purchase volume and price during this time period, at Petrogulf’s request, Enron will re-deliver Petrogulf’s gas to Glenrock under a separate field services agreement in accordance with the terms and fee specified below.</w:t>
      </w:r>
    </w:p>
    <w:p>
      <w:pPr>
        <w:pStyle w:val="Normal"/>
        <w:jc w:val="both"/>
        <w:rPr>
          <w:sz w:val="24"/>
        </w:rPr>
      </w:pPr>
      <w:r>
        <w:rPr>
          <w:sz w:val="24"/>
        </w:rPr>
      </w:r>
    </w:p>
    <w:p>
      <w:pPr>
        <w:pStyle w:val="Heading4"/>
        <w:ind w:hanging="0" w:start="0"/>
        <w:jc w:val="both"/>
        <w:rPr/>
      </w:pPr>
      <w:r>
        <w:rPr/>
        <w:t>Field Gathering and Compression (Field Services)</w:t>
      </w:r>
    </w:p>
    <w:p>
      <w:pPr>
        <w:pStyle w:val="Normal"/>
        <w:numPr>
          <w:ilvl w:val="0"/>
          <w:numId w:val="5"/>
        </w:numPr>
        <w:jc w:val="both"/>
        <w:rPr/>
      </w:pPr>
      <w:r>
        <w:rPr/>
        <w:t>During the term specified, if Enron is not purchasing PetroGulf's gas as specified above, Enron will reserve up to 20,000 Mcf/day of gathering services (Maximum Daily Quantity or “MDQ”) for Petrogulf’s coalbed methane production in 47N/72W and 47N/73W.  Additional acreage may be included by mutual agreement.</w:t>
      </w:r>
    </w:p>
    <w:p>
      <w:pPr>
        <w:pStyle w:val="Normal"/>
        <w:ind w:start="360" w:end="0"/>
        <w:jc w:val="both"/>
        <w:rPr/>
      </w:pPr>
      <w:r>
        <w:rPr/>
      </w:r>
    </w:p>
    <w:p>
      <w:pPr>
        <w:pStyle w:val="Normal"/>
        <w:numPr>
          <w:ilvl w:val="0"/>
          <w:numId w:val="7"/>
        </w:numPr>
        <w:jc w:val="both"/>
        <w:rPr/>
      </w:pPr>
      <w:r>
        <w:rPr/>
        <w:t>If Petrogulf’s production exceeds 20,000 Mcf/d, the incremental volume will be gathered by Enron on an interruptible basis.  If capacity is available, the MDQ may at Enron's option be increased to reflect Petrogulf’s production capability.  Enron shall have the right to decrease the MDQ annually if Petrogulf's production is below the MDQ and Petrogulf has no further development activity on acreage dedicated to Enron as specified herein.</w:t>
      </w:r>
    </w:p>
    <w:p>
      <w:pPr>
        <w:pStyle w:val="Normal"/>
        <w:ind w:start="360" w:end="0"/>
        <w:jc w:val="both"/>
        <w:rPr/>
      </w:pPr>
      <w:r>
        <w:rPr/>
      </w:r>
    </w:p>
    <w:p>
      <w:pPr>
        <w:pStyle w:val="Normal"/>
        <w:numPr>
          <w:ilvl w:val="0"/>
          <w:numId w:val="5"/>
        </w:numPr>
        <w:jc w:val="both"/>
        <w:rPr/>
      </w:pPr>
      <w:r>
        <w:rPr/>
        <w:t>Subject to final gathering facility cost estimates and timing of Petrogulf’s development, the per unit fee for field gathering and compression service from Petrogulf’s field facilities through the terminus of Enron's facilities at Glenrock will range from $0.34 to 0.37 per Mcf (less actual fuel and shrink).</w:t>
      </w:r>
    </w:p>
    <w:p>
      <w:pPr>
        <w:pStyle w:val="Normal"/>
        <w:jc w:val="both"/>
        <w:rPr/>
      </w:pPr>
      <w:r>
        <w:rPr/>
      </w:r>
    </w:p>
    <w:p>
      <w:pPr>
        <w:pStyle w:val="Heading4"/>
        <w:ind w:hanging="0" w:start="0"/>
        <w:jc w:val="both"/>
        <w:rPr/>
      </w:pPr>
      <w:r>
        <w:rPr/>
        <w:t>Term</w:t>
      </w:r>
    </w:p>
    <w:p>
      <w:pPr>
        <w:pStyle w:val="Normal"/>
        <w:numPr>
          <w:ilvl w:val="0"/>
          <w:numId w:val="8"/>
        </w:numPr>
        <w:jc w:val="both"/>
        <w:rPr>
          <w:sz w:val="24"/>
        </w:rPr>
      </w:pPr>
      <w:r>
        <w:rPr/>
        <w:t>An initial term of ten (10) years from the in-service date of WIC's Medicine Bow Lateral, then evergreen thereafter until cancelled by either party with ninety (90) days prior written notice.</w:t>
      </w:r>
    </w:p>
    <w:p>
      <w:pPr>
        <w:pStyle w:val="Date"/>
        <w:jc w:val="both"/>
        <w:rPr>
          <w:sz w:val="24"/>
        </w:rPr>
      </w:pPr>
      <w:r>
        <w:rPr>
          <w:sz w:val="24"/>
        </w:rPr>
      </w:r>
    </w:p>
    <w:p>
      <w:pPr>
        <w:pStyle w:val="Normal"/>
        <w:jc w:val="both"/>
        <w:rPr/>
      </w:pPr>
      <w:r>
        <w:rPr/>
        <w:t>This term sheet is intended to facilitate discussion and shall not create an obligation of any time express or implied on behalf of any of the entities mentioned herein.  Any obligation may only be as a result of the parties entering into definitive documents mutually satisfactory to the parties.</w:t>
      </w:r>
    </w:p>
    <w:p>
      <w:pPr>
        <w:pStyle w:val="Normal"/>
        <w:jc w:val="both"/>
        <w:rPr/>
      </w:pPr>
      <w:r>
        <w:rPr/>
      </w:r>
    </w:p>
    <w:p>
      <w:pPr>
        <w:pStyle w:val="Normal"/>
        <w:jc w:val="both"/>
        <w:rPr/>
      </w:pPr>
      <w:r>
        <w:rPr/>
        <w:t>I hope to discuss this proposal in greater detail and agree to terms as soon as possible.  Thanks for your consideration of Enron.</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Dan J. Bump</w:t>
      </w:r>
    </w:p>
    <w:p>
      <w:pPr>
        <w:pStyle w:val="Normal"/>
        <w:rPr/>
      </w:pPr>
      <w:r>
        <w:rPr/>
        <w:t>Director, Producer Services</w:t>
      </w:r>
    </w:p>
    <w:sectPr>
      <w:headerReference w:type="default" r:id="rId2"/>
      <w:type w:val="nextPage"/>
      <w:pgSz w:w="12240" w:h="15840"/>
      <w:pgMar w:left="1728" w:right="1728" w:gutter="0" w:header="720" w:top="1728" w:footer="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2</w:t>
    </w:r>
    <w:r>
      <w:rPr>
        <w:lang w:eastAsia="en-US"/>
      </w:rPr>
      <w:fldChar w:fldCharType="end"/>
    </w:r>
    <w:r>
      <w:rPr>
        <w:lang w:eastAsia="en-US"/>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92"/>
        </w:tabs>
        <w:ind w:start="792" w:hanging="432"/>
      </w:pPr>
      <w:rPr>
        <w:rFonts w:ascii="Symbol" w:hAnsi="Symbol" w:cs="Symbol" w:hint="default"/>
        <w:sz w:val="20"/>
      </w:rPr>
    </w:lvl>
  </w:abstractNum>
  <w:abstractNum w:abstractNumId="3">
    <w:lvl w:ilvl="0">
      <w:start w:val="1"/>
      <w:numFmt w:val="bullet"/>
      <w:lvlText w:val=""/>
      <w:lvlJc w:val="start"/>
      <w:pPr>
        <w:tabs>
          <w:tab w:val="num" w:pos="792"/>
        </w:tabs>
        <w:ind w:start="792" w:hanging="432"/>
      </w:pPr>
      <w:rPr>
        <w:rFonts w:ascii="Symbol" w:hAnsi="Symbol" w:cs="Symbol" w:hint="default"/>
        <w:sz w:val="20"/>
      </w:rPr>
    </w:lvl>
  </w:abstractNum>
  <w:abstractNum w:abstractNumId="4">
    <w:lvl w:ilvl="0">
      <w:start w:val="1"/>
      <w:numFmt w:val="bullet"/>
      <w:lvlText w:val=""/>
      <w:lvlJc w:val="start"/>
      <w:pPr>
        <w:tabs>
          <w:tab w:val="num" w:pos="1440"/>
        </w:tabs>
        <w:ind w:start="1368" w:hanging="288"/>
      </w:pPr>
      <w:rPr>
        <w:rFonts w:ascii="Wingdings" w:hAnsi="Wingdings" w:cs="Wingdings" w:hint="default"/>
        <w:u w:val="none"/>
      </w:rPr>
    </w:lvl>
  </w:abstractNum>
  <w:abstractNum w:abstractNumId="5">
    <w:lvl w:ilvl="0">
      <w:start w:val="1"/>
      <w:numFmt w:val="bullet"/>
      <w:lvlText w:val=""/>
      <w:lvlJc w:val="start"/>
      <w:pPr>
        <w:tabs>
          <w:tab w:val="num" w:pos="792"/>
        </w:tabs>
        <w:ind w:start="792" w:hanging="432"/>
      </w:pPr>
      <w:rPr>
        <w:rFonts w:ascii="Symbol" w:hAnsi="Symbol" w:cs="Symbol" w:hint="default"/>
        <w:sz w:val="20"/>
      </w:rPr>
    </w:lvl>
  </w:abstractNum>
  <w:abstractNum w:abstractNumId="6">
    <w:lvl w:ilvl="0">
      <w:start w:val="1"/>
      <w:numFmt w:val="bullet"/>
      <w:lvlText w:val=""/>
      <w:lvlJc w:val="start"/>
      <w:pPr>
        <w:tabs>
          <w:tab w:val="num" w:pos="1440"/>
        </w:tabs>
        <w:ind w:start="1368" w:hanging="288"/>
      </w:pPr>
      <w:rPr>
        <w:rFonts w:ascii="Wingdings" w:hAnsi="Wingdings" w:cs="Wingdings" w:hint="default"/>
        <w:u w:val="none"/>
      </w:rPr>
    </w:lvl>
  </w:abstractNum>
  <w:abstractNum w:abstractNumId="7">
    <w:lvl w:ilvl="0">
      <w:start w:val="1"/>
      <w:numFmt w:val="bullet"/>
      <w:lvlText w:val=""/>
      <w:lvlJc w:val="start"/>
      <w:pPr>
        <w:tabs>
          <w:tab w:val="num" w:pos="792"/>
        </w:tabs>
        <w:ind w:start="792" w:hanging="432"/>
      </w:pPr>
      <w:rPr>
        <w:rFonts w:ascii="Symbol" w:hAnsi="Symbol" w:cs="Symbol" w:hint="default"/>
      </w:rPr>
    </w:lvl>
  </w:abstractNum>
  <w:abstractNum w:abstractNumId="8">
    <w:lvl w:ilvl="0">
      <w:start w:val="1"/>
      <w:numFmt w:val="bullet"/>
      <w:lvlText w:val=""/>
      <w:lvlJc w:val="start"/>
      <w:pPr>
        <w:tabs>
          <w:tab w:val="num" w:pos="792"/>
        </w:tabs>
        <w:ind w:start="792" w:hanging="432"/>
      </w:pPr>
      <w:rPr>
        <w:rFonts w:ascii="Symbol" w:hAnsi="Symbol" w:cs="Symbol" w:hint="default"/>
        <w:sz w:val="20"/>
      </w:rPr>
    </w:lvl>
  </w:abstractNum>
  <w:abstractNum w:abstractNumId="9">
    <w:lvl w:ilvl="0">
      <w:start w:val="1"/>
      <w:numFmt w:val="lowerRoman"/>
      <w:lvlText w:val="%1."/>
      <w:lvlJc w:val="end"/>
      <w:pPr>
        <w:tabs>
          <w:tab w:val="num" w:pos="1800"/>
        </w:tabs>
        <w:ind w:start="1800" w:hanging="360"/>
      </w:pPr>
      <w:rPr>
        <w:sz w:val="20"/>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i/>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b/>
      <w:i/>
      <w:sz w:val="22"/>
    </w:rPr>
  </w:style>
  <w:style w:type="paragraph" w:styleId="Heading4">
    <w:name w:val="heading 4"/>
    <w:basedOn w:val="Normal"/>
    <w:next w:val="Normal"/>
    <w:qFormat/>
    <w:pPr>
      <w:keepNext w:val="true"/>
      <w:numPr>
        <w:ilvl w:val="3"/>
        <w:numId w:val="1"/>
      </w:numPr>
      <w:outlineLvl w:val="3"/>
    </w:pPr>
    <w:rPr>
      <w:b/>
      <w:u w:val="single"/>
    </w:rPr>
  </w:style>
  <w:style w:type="paragraph" w:styleId="Heading5">
    <w:name w:val="heading 5"/>
    <w:basedOn w:val="Normal"/>
    <w:next w:val="Normal"/>
    <w:qFormat/>
    <w:pPr>
      <w:keepNext w:val="true"/>
      <w:numPr>
        <w:ilvl w:val="4"/>
        <w:numId w:val="1"/>
      </w:numPr>
      <w:outlineLvl w:val="4"/>
    </w:pPr>
    <w:rPr>
      <w:u w:val="single"/>
    </w:rPr>
  </w:style>
  <w:style w:type="paragraph" w:styleId="Heading6">
    <w:name w:val="heading 6"/>
    <w:basedOn w:val="Normal"/>
    <w:next w:val="Normal"/>
    <w:qFormat/>
    <w:pPr>
      <w:keepNext w:val="true"/>
      <w:numPr>
        <w:ilvl w:val="5"/>
        <w:numId w:val="1"/>
      </w:numPr>
      <w:outlineLvl w:val="5"/>
    </w:pPr>
    <w:rPr>
      <w:sz w:val="24"/>
      <w:u w:val="single"/>
    </w:rPr>
  </w:style>
  <w:style w:type="character" w:styleId="WW8Num1z0">
    <w:name w:val="WW8Num1z0"/>
    <w:qFormat/>
    <w:rPr>
      <w:rFonts w:ascii="Wingdings" w:hAnsi="Wingdings" w:cs="Wingdings"/>
      <w:sz w:val="16"/>
    </w:rPr>
  </w:style>
  <w:style w:type="character" w:styleId="WW8Num2z0">
    <w:name w:val="WW8Num2z0"/>
    <w:qFormat/>
    <w:rPr>
      <w:rFonts w:ascii="Wingdings" w:hAnsi="Wingdings" w:cs="Wingdings"/>
    </w:rPr>
  </w:style>
  <w:style w:type="character" w:styleId="WW8Num3z0">
    <w:name w:val="WW8Num3z0"/>
    <w:qFormat/>
    <w:rPr/>
  </w:style>
  <w:style w:type="character" w:styleId="WW8Num4z0">
    <w:name w:val="WW8Num4z0"/>
    <w:qFormat/>
    <w:rPr>
      <w:rFonts w:ascii="Symbol" w:hAnsi="Symbol" w:cs="Symbol"/>
      <w:sz w:val="20"/>
    </w:rPr>
  </w:style>
  <w:style w:type="character" w:styleId="WW8Num5z0">
    <w:name w:val="WW8Num5z0"/>
    <w:qFormat/>
    <w:rPr/>
  </w:style>
  <w:style w:type="character" w:styleId="WW8Num6z0">
    <w:name w:val="WW8Num6z0"/>
    <w:qFormat/>
    <w:rPr>
      <w:rFonts w:ascii="Symbol" w:hAnsi="Symbol" w:cs="Symbol"/>
      <w:sz w:val="20"/>
    </w:rPr>
  </w:style>
  <w:style w:type="character" w:styleId="WW8Num7z0">
    <w:name w:val="WW8Num7z0"/>
    <w:qFormat/>
    <w:rPr>
      <w:rFonts w:ascii="Wingdings" w:hAnsi="Wingdings" w:cs="Wingdings"/>
    </w:rPr>
  </w:style>
  <w:style w:type="character" w:styleId="WW8Num8z0">
    <w:name w:val="WW8Num8z0"/>
    <w:qFormat/>
    <w:rPr>
      <w:rFonts w:ascii="Symbol" w:hAnsi="Symbol" w:cs="Symbol"/>
      <w:sz w:val="20"/>
    </w:rPr>
  </w:style>
  <w:style w:type="character" w:styleId="WW8Num9z0">
    <w:name w:val="WW8Num9z0"/>
    <w:qFormat/>
    <w:rPr>
      <w:rFonts w:ascii="Wingdings" w:hAnsi="Wingdings" w:cs="Wingdings"/>
    </w:rPr>
  </w:style>
  <w:style w:type="character" w:styleId="WW8Num10z0">
    <w:name w:val="WW8Num10z0"/>
    <w:qFormat/>
    <w:rPr>
      <w:rFonts w:ascii="Symbol" w:hAnsi="Symbol" w:cs="Symbol"/>
      <w:sz w:val="20"/>
    </w:rPr>
  </w:style>
  <w:style w:type="character" w:styleId="WW8Num11z0">
    <w:name w:val="WW8Num11z0"/>
    <w:qFormat/>
    <w:rPr>
      <w:rFonts w:ascii="Symbol" w:hAnsi="Symbol" w:cs="Symbol"/>
      <w:b/>
      <w:i w:val="false"/>
      <w:sz w:val="24"/>
    </w:rPr>
  </w:style>
  <w:style w:type="character" w:styleId="WW8Num12z0">
    <w:name w:val="WW8Num12z0"/>
    <w:qFormat/>
    <w:rPr/>
  </w:style>
  <w:style w:type="character" w:styleId="WW8Num13z0">
    <w:name w:val="WW8Num13z0"/>
    <w:qFormat/>
    <w:rPr>
      <w:rFonts w:ascii="Symbol" w:hAnsi="Symbol" w:cs="Symbol"/>
      <w:b/>
      <w:i w:val="false"/>
      <w:color w:val="auto"/>
      <w:sz w:val="20"/>
    </w:rPr>
  </w:style>
  <w:style w:type="character" w:styleId="WW8Num14z0">
    <w:name w:val="WW8Num14z0"/>
    <w:qFormat/>
    <w:rPr>
      <w:rFonts w:ascii="Symbol" w:hAnsi="Symbol" w:cs="Symbol"/>
      <w:b/>
      <w:i w:val="false"/>
      <w:color w:val="auto"/>
      <w:sz w:val="20"/>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Wingdings" w:hAnsi="Wingdings" w:cs="Wingdings"/>
      <w:u w:val="none"/>
    </w:rPr>
  </w:style>
  <w:style w:type="character" w:styleId="WW8Num18z0">
    <w:name w:val="WW8Num18z0"/>
    <w:qFormat/>
    <w:rPr>
      <w:rFonts w:ascii="Symbol" w:hAnsi="Symbol" w:cs="Symbol"/>
      <w:sz w:val="20"/>
    </w:rPr>
  </w:style>
  <w:style w:type="character" w:styleId="WW8Num19z0">
    <w:name w:val="WW8Num19z0"/>
    <w:qFormat/>
    <w:rPr/>
  </w:style>
  <w:style w:type="character" w:styleId="WW8Num20z0">
    <w:name w:val="WW8Num20z0"/>
    <w:qFormat/>
    <w:rPr>
      <w:rFonts w:ascii="Symbol" w:hAnsi="Symbol" w:cs="Symbol"/>
      <w:sz w:val="20"/>
    </w:rPr>
  </w:style>
  <w:style w:type="character" w:styleId="WW8Num22z0">
    <w:name w:val="WW8Num22z0"/>
    <w:qFormat/>
    <w:rPr>
      <w:rFonts w:ascii="Wingdings" w:hAnsi="Wingdings" w:cs="Wingdings"/>
      <w:u w:val="none"/>
    </w:rPr>
  </w:style>
  <w:style w:type="character" w:styleId="WW8Num23z0">
    <w:name w:val="WW8Num23z0"/>
    <w:qFormat/>
    <w:rPr>
      <w:rFonts w:ascii="Symbol" w:hAnsi="Symbol" w:cs="Symbol"/>
      <w:sz w:val="20"/>
    </w:rPr>
  </w:style>
  <w:style w:type="character" w:styleId="WW8Num24z0">
    <w:name w:val="WW8Num24z0"/>
    <w:qFormat/>
    <w:rPr>
      <w:rFonts w:ascii="Symbol" w:hAnsi="Symbol" w:cs="Symbol"/>
    </w:rPr>
  </w:style>
  <w:style w:type="character" w:styleId="WW8Num25z0">
    <w:name w:val="WW8Num25z0"/>
    <w:qFormat/>
    <w:rPr>
      <w:rFonts w:ascii="Wingdings" w:hAnsi="Wingdings" w:cs="Wingdings"/>
      <w:sz w:val="16"/>
    </w:rPr>
  </w:style>
  <w:style w:type="character" w:styleId="WW8Num26z0">
    <w:name w:val="WW8Num26z0"/>
    <w:qFormat/>
    <w:rPr>
      <w:rFonts w:ascii="Symbol" w:hAnsi="Symbol" w:cs="Symbol"/>
      <w:sz w:val="20"/>
    </w:rPr>
  </w:style>
  <w:style w:type="character" w:styleId="WW8Num27z0">
    <w:name w:val="WW8Num27z0"/>
    <w:qFormat/>
    <w:rPr>
      <w:rFonts w:ascii="Wingdings" w:hAnsi="Wingdings" w:cs="Wingdings"/>
    </w:rPr>
  </w:style>
  <w:style w:type="character" w:styleId="WW8Num28z0">
    <w:name w:val="WW8Num28z0"/>
    <w:qFormat/>
    <w:rPr/>
  </w:style>
  <w:style w:type="character" w:styleId="WW8Num29z0">
    <w:name w:val="WW8Num29z0"/>
    <w:qFormat/>
    <w:rPr>
      <w:rFonts w:ascii="Symbol" w:hAnsi="Symbol" w:cs="Symbol"/>
      <w:b/>
      <w:i w:val="false"/>
      <w:color w:val="auto"/>
    </w:rPr>
  </w:style>
  <w:style w:type="character" w:styleId="WW8Num30z0">
    <w:name w:val="WW8Num30z0"/>
    <w:qFormat/>
    <w:rPr>
      <w:rFonts w:ascii="Symbol" w:hAnsi="Symbol" w:cs="Symbol"/>
      <w:b/>
      <w:i w:val="false"/>
    </w:rPr>
  </w:style>
  <w:style w:type="character" w:styleId="WW8Num33z0">
    <w:name w:val="WW8Num33z0"/>
    <w:qFormat/>
    <w:rPr>
      <w:rFonts w:ascii="Symbol" w:hAnsi="Symbol" w:cs="Symbol"/>
      <w:sz w:val="20"/>
    </w:rPr>
  </w:style>
  <w:style w:type="character" w:styleId="WW8Num34z0">
    <w:name w:val="WW8Num34z0"/>
    <w:qFormat/>
    <w:rPr>
      <w:rFonts w:ascii="Symbol" w:hAnsi="Symbol" w:cs="Symbol"/>
      <w:sz w:val="20"/>
    </w:rPr>
  </w:style>
  <w:style w:type="character" w:styleId="WW8Num35z0">
    <w:name w:val="WW8Num35z0"/>
    <w:qFormat/>
    <w:rPr>
      <w:rFonts w:ascii="Symbol" w:hAnsi="Symbol" w:cs="Symbol"/>
      <w:sz w:val="20"/>
    </w:rPr>
  </w:style>
  <w:style w:type="character" w:styleId="WW8Num36z0">
    <w:name w:val="WW8Num36z0"/>
    <w:qFormat/>
    <w:rPr>
      <w:rFonts w:ascii="Wingdings" w:hAnsi="Wingdings" w:cs="Wingdings"/>
    </w:rPr>
  </w:style>
  <w:style w:type="character" w:styleId="WW8Num37z0">
    <w:name w:val="WW8Num37z0"/>
    <w:qFormat/>
    <w:rPr>
      <w:sz w:val="20"/>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ate">
    <w:name w:val="Date"/>
    <w:basedOn w:val="Normal"/>
    <w:next w:val="Normal"/>
    <w:qFormat/>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Salutation">
    <w:name w:val="Salutation"/>
    <w:basedOn w:val="Normal"/>
    <w:next w:val="Normal"/>
    <w:qFormat/>
    <w:pPr/>
    <w:rPr/>
  </w:style>
  <w:style w:type="paragraph" w:styleId="Closing">
    <w:name w:val="Closing"/>
    <w:basedOn w:val="Normal"/>
    <w:qFormat/>
    <w:pPr/>
    <w:rPr/>
  </w:style>
  <w:style w:type="paragraph" w:styleId="Signature">
    <w:name w:val="Signature"/>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Style11">
    <w:name w:val="Style1"/>
    <w:basedOn w:val="Normal"/>
    <w:qFormat/>
    <w:pPr/>
    <w:rPr>
      <w:b/>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1999-08-16T19:59:00Z</dcterms:created>
  <dc:creator>Dan J. Bump</dc:creator>
  <dc:description/>
  <dc:language>en-CA</dc:language>
  <cp:lastModifiedBy>gnemec</cp:lastModifiedBy>
  <cp:lastPrinted>1999-05-19T16:03:00Z</cp:lastPrinted>
  <dcterms:modified xsi:type="dcterms:W3CDTF">1999-08-16T20:40:00Z</dcterms:modified>
  <cp:revision>6</cp:revision>
  <dc:subject/>
  <dc:title>June 11, 1998</dc:title>
</cp:coreProperties>
</file>