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numPr>
          <w:ilvl w:val="0"/>
          <w:numId w:val="0"/>
        </w:numPr>
        <w:spacing w:before="0" w:after="0"/>
        <w:outlineLvl w:val="0"/>
        <w:rPr/>
      </w:pPr>
      <w:r>
        <w:rPr/>
        <w:t>Gathering Services Agreement</w:t>
      </w:r>
    </w:p>
    <w:p>
      <w:pPr>
        <w:pStyle w:val="Normal"/>
        <w:spacing w:before="960" w:after="0"/>
        <w:jc w:val="center"/>
        <w:rPr>
          <w:b/>
          <w:smallCaps/>
        </w:rPr>
      </w:pPr>
      <w:r>
        <w:rPr>
          <w:b/>
          <w:smallCaps/>
        </w:rPr>
        <w:t>between</w:t>
      </w:r>
    </w:p>
    <w:p>
      <w:pPr>
        <w:pStyle w:val="Normal"/>
        <w:numPr>
          <w:ilvl w:val="0"/>
          <w:numId w:val="0"/>
        </w:numPr>
        <w:spacing w:before="960" w:after="0"/>
        <w:jc w:val="center"/>
        <w:outlineLvl w:val="0"/>
        <w:rPr>
          <w:b/>
          <w:smallCaps/>
        </w:rPr>
      </w:pPr>
      <w:r>
        <w:rPr>
          <w:b/>
          <w:smallCaps/>
        </w:rPr>
        <w:t>ENRON MIDSTREAM SERVICES, L.L.C.</w:t>
      </w:r>
    </w:p>
    <w:p>
      <w:pPr>
        <w:pStyle w:val="Normal"/>
        <w:numPr>
          <w:ilvl w:val="0"/>
          <w:numId w:val="0"/>
        </w:numPr>
        <w:spacing w:before="960" w:after="0"/>
        <w:jc w:val="center"/>
        <w:outlineLvl w:val="0"/>
        <w:rPr>
          <w:b/>
          <w:smallCaps/>
        </w:rPr>
      </w:pPr>
      <w:r>
        <w:rPr>
          <w:b/>
          <w:smallCaps/>
        </w:rPr>
        <w:t xml:space="preserve"> </w:t>
      </w:r>
      <w:r>
        <w:rPr>
          <w:b/>
          <w:smallCaps/>
        </w:rPr>
        <w:t>(Gatherer)</w:t>
      </w:r>
    </w:p>
    <w:p>
      <w:pPr>
        <w:pStyle w:val="Normal"/>
        <w:numPr>
          <w:ilvl w:val="0"/>
          <w:numId w:val="0"/>
        </w:numPr>
        <w:spacing w:before="960" w:after="0"/>
        <w:jc w:val="center"/>
        <w:outlineLvl w:val="0"/>
        <w:rPr>
          <w:b/>
          <w:smallCaps/>
        </w:rPr>
      </w:pPr>
      <w:r>
        <w:rPr>
          <w:b/>
          <w:smallCaps/>
        </w:rPr>
        <w:t>and</w:t>
      </w:r>
    </w:p>
    <w:p>
      <w:pPr>
        <w:pStyle w:val="Normal"/>
        <w:spacing w:before="960" w:after="0"/>
        <w:jc w:val="center"/>
        <w:rPr>
          <w:b/>
          <w:smallCaps/>
        </w:rPr>
      </w:pPr>
      <w:r>
        <w:rPr>
          <w:b/>
          <w:smallCaps/>
        </w:rPr>
      </w:r>
    </w:p>
    <w:p>
      <w:pPr>
        <w:pStyle w:val="MimicLev1"/>
        <w:keepNext w:val="false"/>
        <w:numPr>
          <w:ilvl w:val="0"/>
          <w:numId w:val="0"/>
        </w:numPr>
        <w:spacing w:before="0" w:after="0"/>
        <w:outlineLvl w:val="0"/>
        <w:rPr>
          <w:caps w:val="false"/>
          <w:smallCaps w:val="false"/>
          <w:sz w:val="20"/>
        </w:rPr>
      </w:pPr>
      <w:r>
        <w:rPr>
          <w:caps w:val="false"/>
          <w:smallCaps w:val="false"/>
          <w:sz w:val="20"/>
        </w:rPr>
        <w:t>PETROGULF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numPr>
          <w:ilvl w:val="0"/>
          <w:numId w:val="0"/>
        </w:numPr>
        <w:jc w:val="center"/>
        <w:outlineLvl w:val="0"/>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September, 1999, by and between </w:t>
      </w:r>
      <w:r>
        <w:rPr>
          <w:b/>
          <w:sz w:val="20"/>
        </w:rPr>
        <w:t>Petrogulf Corporation</w:t>
      </w:r>
      <w:r>
        <w:rPr>
          <w:sz w:val="20"/>
        </w:rPr>
        <w:t>, a __________________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numPr>
          <w:ilvl w:val="0"/>
          <w:numId w:val="0"/>
        </w:numPr>
        <w:ind w:firstLine="720" w:start="0"/>
        <w:jc w:val="center"/>
        <w:outlineLvl w:val="0"/>
        <w:rPr>
          <w:sz w:val="20"/>
        </w:rPr>
      </w:pPr>
      <w:r>
        <w:rPr>
          <w:b/>
          <w:smallCaps/>
          <w:sz w:val="20"/>
        </w:rPr>
        <w:t>Recitals</w:t>
      </w:r>
      <w:r>
        <w:rPr>
          <w:b/>
          <w:sz w:val="20"/>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numPr>
          <w:ilvl w:val="0"/>
          <w:numId w:val="0"/>
        </w:numPr>
        <w:jc w:val="center"/>
        <w:outlineLvl w:val="0"/>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for ninety (90) out of one hundred twenty (120) consecutive Days, then such excess quantities of Gas shall be released from commitment hereunder.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Parties will work together to determine the points at which Owner shall deliver gas to Gatherer ("</w:t>
      </w:r>
      <w:r>
        <w:rPr>
          <w:sz w:val="20"/>
          <w:u w:val="single"/>
        </w:rPr>
        <w:t>Receipt Points</w:t>
      </w:r>
      <w:r>
        <w:rPr>
          <w:sz w:val="20"/>
        </w:rPr>
        <w:t xml:space="preserve">") which points will be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Fort Union In-Service Date (the "</w:t>
      </w:r>
      <w:r>
        <w:rPr>
          <w:sz w:val="20"/>
          <w:u w:val="single"/>
        </w:rPr>
        <w:t>Effective Date</w:t>
      </w:r>
      <w:r>
        <w:rPr>
          <w:sz w:val="20"/>
        </w:rPr>
        <w:t>"),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$0.45 per Mcf, plus actual fuel and shrinkage not to exceed seven percent (7%),</w:t>
      </w:r>
      <w:r>
        <w:rPr>
          <w:b/>
          <w:sz w:val="20"/>
        </w:rPr>
        <w:t xml:space="preserve"> </w:t>
      </w:r>
      <w:r>
        <w:rPr>
          <w:sz w:val="20"/>
        </w:rPr>
        <w:t>for Owner's quantity of gas as measured at the Measurement Points(s).  If the cumulative volume of gas produced by Owner under the Reserve Commitment Area and gathered by Gatherer hereunder equals fifteen (15) Bcf by December 31, 2000, or twenty-six (26) Bcf by December 31, 2001, or thirty-four (34) Bcf by December 31, 2002 then the Gathering Fee shall be reduced by $0.05 per Mcf for volumes delivered thereafter</w:t>
      </w:r>
      <w:r>
        <w:rPr/>
        <w:t>.</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provided, however, if Owner shall, in good faith, dispute the amount due or part thereof and shall pay such amounts as it concedes to be correct, no suspension or termination shall be permitted.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jc w:val="both"/>
              <w:rPr/>
            </w:pPr>
            <w:r>
              <w:rPr/>
              <w:t>Petrogulf Corporation</w:t>
              <w:tab/>
              <w:tab/>
            </w:r>
          </w:p>
          <w:p>
            <w:pPr>
              <w:pStyle w:val="Normal"/>
              <w:jc w:val="both"/>
              <w:rPr>
                <w:u w:val="single"/>
              </w:rPr>
            </w:pPr>
            <w:r>
              <w:rPr/>
              <w:t>518 17</w:t>
            </w:r>
            <w:r>
              <w:rPr>
                <w:vertAlign w:val="superscript"/>
              </w:rPr>
              <w:t>th</w:t>
            </w:r>
            <w:r>
              <w:rPr/>
              <w:t xml:space="preserve"> Street, Suite 1455</w:t>
            </w:r>
          </w:p>
          <w:p>
            <w:pPr>
              <w:pStyle w:val="Normal"/>
              <w:jc w:val="both"/>
              <w:rPr/>
            </w:pPr>
            <w:r>
              <w:rPr/>
              <w:t>Denver, CO 80202</w:t>
            </w:r>
          </w:p>
          <w:p>
            <w:pPr>
              <w:pStyle w:val="Normal"/>
              <w:jc w:val="both"/>
              <w:rPr/>
            </w:pPr>
            <w:r>
              <w:rPr/>
              <w:t xml:space="preserve">Phone: </w:t>
            </w:r>
            <w:r>
              <w:rPr>
                <w:u w:val="single"/>
              </w:rPr>
              <w:tab/>
              <w:tab/>
              <w:tab/>
              <w:tab/>
            </w:r>
          </w:p>
          <w:p>
            <w:pPr>
              <w:pStyle w:val="Normal"/>
              <w:jc w:val="both"/>
              <w:rPr/>
            </w:pPr>
            <w:r>
              <w:rPr/>
              <w:t>Fax: (303) 893-1472</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r>
        <w:br w:type="page"/>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PETROGULF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numPr>
          <w:ilvl w:val="0"/>
          <w:numId w:val="0"/>
        </w:numPr>
        <w:tabs>
          <w:tab w:val="clear" w:pos="4320"/>
          <w:tab w:val="clear" w:pos="8640"/>
        </w:tabs>
        <w:jc w:val="center"/>
        <w:outlineLvl w:val="0"/>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outlineLvl w:val="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Central Time.</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Normal"/>
        <w:jc w:val="both"/>
        <w:rPr/>
      </w:pPr>
      <w:r>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North America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60,000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WIC In-Service Date</w:t>
      </w:r>
      <w:r>
        <w:rPr>
          <w:sz w:val="20"/>
        </w:rPr>
        <w:t>" shall mean the date that the Wyoming Interstate Gas Medicine Bow Lateral interconnection with the Fort Union Gas Gathering, L.L.C. gathering header is on line and fully operational.</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sz w:val="20"/>
        </w:rPr>
      </w:pPr>
      <w:r>
        <w:rPr>
          <w:sz w:val="20"/>
        </w:rPr>
        <w:t xml:space="preserve">SECTION </w:t>
      </w:r>
      <w:bookmarkStart w:id="1" w:name="Section3"/>
      <w:r>
        <w:rPr>
          <w:sz w:val="20"/>
        </w:rPr>
        <w:t>2</w:t>
      </w:r>
      <w:bookmarkEnd w:id="1"/>
      <w:r>
        <w:rPr>
          <w:sz w:val="20"/>
        </w:rPr>
        <w:t>.</w:t>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two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is less than 1,000 Mcf at a screw compressor or less than 4,500 Mcf at a reciprocating compressor hereunder for ninety (90) consecutive Days for reasons other than curtailment, dewatering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sz w:val="20"/>
        </w:rPr>
      </w:pPr>
      <w:r>
        <w:rPr>
          <w:sz w:val="20"/>
        </w:rPr>
        <w:t>SECTION 3.</w:t>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Except when Enron North America Corp. is purchasing the Gas from Owner pursuant to the Gas Purchase Agreement,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SECTION 4.</w:t>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outlineLvl w:val="0"/>
        <w:rPr>
          <w:b w:val="false"/>
          <w:sz w:val="20"/>
        </w:rPr>
      </w:pPr>
      <w:r>
        <w:rPr>
          <w:sz w:val="20"/>
        </w:rPr>
        <w:t>SECTION 5.</w:t>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sz w:val="20"/>
        </w:rPr>
      </w:pPr>
      <w:r>
        <w:rPr>
          <w:sz w:val="20"/>
        </w:rPr>
        <w:t>SECTION 6.</w:t>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the owner or operator of the Fort Union Gathering Header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Wells upstream of the Measurement Point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the pipeline(s) located at the terminus of the Fort Union Gathering Header.</w:t>
      </w:r>
    </w:p>
    <w:p>
      <w:pPr>
        <w:pStyle w:val="BodyText"/>
        <w:rPr>
          <w:b/>
          <w:sz w:val="20"/>
        </w:rPr>
      </w:pPr>
      <w:r>
        <w:rPr>
          <w:b/>
          <w:sz w:val="20"/>
        </w:rPr>
      </w:r>
    </w:p>
    <w:p>
      <w:pPr>
        <w:pStyle w:val="Sections"/>
        <w:numPr>
          <w:ilvl w:val="0"/>
          <w:numId w:val="0"/>
        </w:numPr>
        <w:ind w:hanging="0" w:start="0"/>
        <w:rPr>
          <w:sz w:val="20"/>
        </w:rPr>
      </w:pPr>
      <w:r>
        <w:rPr>
          <w:sz w:val="20"/>
        </w:rPr>
        <w:t>SECTION 7.</w:t>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failure due to the occurrence of a Year 2000 problem relating to computer systems, software or equipment owned, leased or licensed by Gatherer or a service provider to Gatherer,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outlineLvl w:val="0"/>
        <w:rPr>
          <w:b w:val="false"/>
          <w:sz w:val="20"/>
        </w:rPr>
      </w:pPr>
      <w:r>
        <w:rPr>
          <w:sz w:val="20"/>
        </w:rPr>
        <w:t>SECTION 8.</w:t>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fifteen (15)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If, in the reasonable opinion of Gatherer, there has been a material change in the creditworthiness, financial condition or ongoing business of Owner that may adversely affect Owner’s ability to perform hereunder, then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outlineLvl w:val="0"/>
        <w:rPr>
          <w:sz w:val="20"/>
        </w:rPr>
      </w:pPr>
      <w:r>
        <w:rPr>
          <w:sz w:val="20"/>
        </w:rPr>
        <w:t>SECTION 9.</w:t>
        <w:tab/>
        <w:t>ASSIGNMENT</w:t>
      </w:r>
    </w:p>
    <w:p>
      <w:pPr>
        <w:pStyle w:val="Normal"/>
        <w:jc w:val="both"/>
        <w:rPr/>
      </w:pPr>
      <w:r>
        <w:rPr/>
        <w:tab/>
        <w:t>Owner shall not assign or transfer its rights hereunder or in the Reserve Commitment Area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10.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numPr>
          <w:ilvl w:val="0"/>
          <w:numId w:val="0"/>
        </w:numPr>
        <w:outlineLvl w:val="0"/>
        <w:rPr>
          <w:b/>
          <w:u w:val="single"/>
        </w:rPr>
      </w:pPr>
      <w:r>
        <w:rPr>
          <w:b/>
        </w:rPr>
        <w:t xml:space="preserve">SECTION 11. </w:t>
        <w:tab/>
        <w:t>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Gatherer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numPr>
          <w:ilvl w:val="0"/>
          <w:numId w:val="0"/>
        </w:numPr>
        <w:tabs>
          <w:tab w:val="clear" w:pos="4320"/>
          <w:tab w:val="clear" w:pos="8640"/>
        </w:tabs>
        <w:jc w:val="center"/>
        <w:outlineLvl w:val="0"/>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numPr>
          <w:ilvl w:val="0"/>
          <w:numId w:val="0"/>
        </w:numPr>
        <w:tabs>
          <w:tab w:val="clear" w:pos="4320"/>
          <w:tab w:val="clear" w:pos="8640"/>
        </w:tabs>
        <w:jc w:val="center"/>
        <w:outlineLvl w:val="0"/>
        <w:rPr>
          <w:b/>
          <w:smallCaps/>
        </w:rPr>
      </w:pPr>
      <w:r>
        <w:rPr>
          <w:b/>
          <w:smallCaps/>
        </w:rPr>
        <w:t>Reserve Commitment Area</w:t>
      </w:r>
    </w:p>
    <w:p>
      <w:pPr>
        <w:pStyle w:val="Footer"/>
        <w:numPr>
          <w:ilvl w:val="0"/>
          <w:numId w:val="0"/>
        </w:numPr>
        <w:tabs>
          <w:tab w:val="clear" w:pos="4320"/>
          <w:tab w:val="clear" w:pos="8640"/>
        </w:tabs>
        <w:jc w:val="center"/>
        <w:outlineLvl w:val="0"/>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 xml:space="preserve">Gatherer shall diligently proceed with the acquisition of all applicable governmental approvals, permits, and rights-of-way required to construct and install facilities capable of providing gathering and compression services for 27,000 Mcf per day of Owner’s Daily Deliverability of Gas.  </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Upon Owner’s delivery of Gas utilizing at least seventy percent (70%)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installation of the agreed additional gathering and compression facilities.  If the parties are unable to agree upon those terms and conditions within thirty (30) days following Gatherer’s notification, then the affected Wells shall, at Owner's option, be released from dedication under this Agreement. </w:t>
      </w:r>
      <w:r>
        <w:br w:type="page"/>
      </w:r>
    </w:p>
    <w:p>
      <w:pPr>
        <w:pStyle w:val="Normal"/>
        <w:spacing w:before="120" w:after="0"/>
        <w:ind w:firstLine="720" w:end="0"/>
        <w:jc w:val="both"/>
        <w:rPr/>
      </w:pPr>
      <w:r>
        <w:rPr/>
      </w:r>
    </w:p>
    <w:p>
      <w:pPr>
        <w:pStyle w:val="Footer"/>
        <w:numPr>
          <w:ilvl w:val="0"/>
          <w:numId w:val="0"/>
        </w:numPr>
        <w:tabs>
          <w:tab w:val="clear" w:pos="4320"/>
          <w:tab w:val="clear" w:pos="8640"/>
        </w:tabs>
        <w:jc w:val="center"/>
        <w:outlineLvl w:val="0"/>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numPr>
          <w:ilvl w:val="0"/>
          <w:numId w:val="0"/>
        </w:numPr>
        <w:tabs>
          <w:tab w:val="clear" w:pos="4320"/>
          <w:tab w:val="clear" w:pos="8640"/>
        </w:tabs>
        <w:jc w:val="center"/>
        <w:outlineLvl w:val="0"/>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pPr>
      <w:r>
        <w:rPr/>
      </w:r>
    </w:p>
    <w:p>
      <w:pPr>
        <w:pStyle w:val="Footer"/>
        <w:numPr>
          <w:ilvl w:val="0"/>
          <w:numId w:val="0"/>
        </w:numPr>
        <w:tabs>
          <w:tab w:val="clear" w:pos="4320"/>
          <w:tab w:val="clear" w:pos="8640"/>
        </w:tabs>
        <w:jc w:val="center"/>
        <w:outlineLvl w:val="0"/>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numPr>
          <w:ilvl w:val="0"/>
          <w:numId w:val="0"/>
        </w:numPr>
        <w:spacing w:before="120" w:after="0"/>
        <w:outlineLvl w:val="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p>
      <w:pPr>
        <w:pStyle w:val="Normal"/>
        <w:rPr/>
      </w:pPr>
      <w:r>
        <w:rPr/>
      </w:r>
    </w:p>
    <w:p>
      <w:pPr>
        <w:pStyle w:val="Normal"/>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/mnt/main-storage/datasets/enron-docs/doc/PetrogulfGSA3.doc</w:t>
    </w:r>
    <w:r>
      <w:rPr>
        <w:rStyle w:val="PageNumbe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1999-10-05T16:46:00Z</dcterms:created>
  <dc:creator>Daniel J. Hyvl</dc:creator>
  <dc:description/>
  <dc:language>en-CA</dc:language>
  <cp:lastModifiedBy>sdaniel</cp:lastModifiedBy>
  <dcterms:modified xsi:type="dcterms:W3CDTF">1999-10-05T17:10:00Z</dcterms:modified>
  <cp:revision>4</cp:revision>
  <dc:subject/>
  <dc:title>GATHERING SERVICES AGREEMENT</dc:title>
</cp:coreProperties>
</file>