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GAS PURCHASE AGREEMENT </w:t>
      </w:r>
    </w:p>
    <w:p>
      <w:pPr>
        <w:pStyle w:val="Normal"/>
        <w:jc w:val="center"/>
        <w:rPr>
          <w:b/>
        </w:rPr>
      </w:pPr>
      <w:r>
        <w:rPr>
          <w:b/>
        </w:rPr>
        <w:t>(RESERVES COMMITTED/INDEX PRICING)</w:t>
      </w:r>
    </w:p>
    <w:p>
      <w:pPr>
        <w:pStyle w:val="Normal"/>
        <w:jc w:val="both"/>
        <w:rPr>
          <w:b/>
        </w:rPr>
      </w:pPr>
      <w:r>
        <w:rPr>
          <w:b/>
        </w:rPr>
      </w:r>
    </w:p>
    <w:p>
      <w:pPr>
        <w:pStyle w:val="Normal"/>
        <w:jc w:val="both"/>
        <w:rPr/>
      </w:pPr>
      <w:r>
        <w:rPr>
          <w:b/>
        </w:rPr>
        <w:t>Enron North America Corp.</w:t>
      </w:r>
      <w:r>
        <w:rPr/>
        <w:t xml:space="preserve"> a Delaware corporation ("</w:t>
      </w:r>
      <w:r>
        <w:rPr>
          <w:u w:val="single"/>
        </w:rPr>
        <w:t>Buyer</w:t>
      </w:r>
      <w:r>
        <w:rPr/>
        <w:t xml:space="preserve">"), and </w:t>
      </w:r>
      <w:r>
        <w:rPr>
          <w:b/>
        </w:rPr>
        <w:t>Petrogulf Corporation,</w:t>
      </w:r>
      <w:r>
        <w:rPr/>
        <w:t xml:space="preserve"> a ______________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1st Day of September, 1999. </w:t>
      </w:r>
    </w:p>
    <w:p>
      <w:pPr>
        <w:pStyle w:val="Normal"/>
        <w:jc w:val="both"/>
        <w:rPr>
          <w:b/>
        </w:rPr>
      </w:pPr>
      <w:r>
        <w:rPr>
          <w:b/>
        </w:rPr>
      </w:r>
    </w:p>
    <w:p>
      <w:pPr>
        <w:pStyle w:val="Normal"/>
        <w:jc w:val="center"/>
        <w:rPr>
          <w:b/>
          <w:u w:val="single"/>
        </w:rPr>
      </w:pPr>
      <w:r>
        <w:rPr>
          <w:b/>
          <w:u w:val="single"/>
        </w:rPr>
        <w:t>ARTICLE 1. TERM</w:t>
      </w:r>
    </w:p>
    <w:p>
      <w:pPr>
        <w:pStyle w:val="Normal"/>
        <w:jc w:val="both"/>
        <w:rPr/>
      </w:pPr>
      <w:r>
        <w:rPr/>
      </w:r>
    </w:p>
    <w:p>
      <w:pPr>
        <w:pStyle w:val="Normal"/>
        <w:jc w:val="both"/>
        <w:rPr/>
      </w:pPr>
      <w:r>
        <w:rPr/>
        <w:t>This Agreement shall be in effect from the commencement of the Gas Day on the Fort Union In-Service Date (the "</w:t>
      </w:r>
      <w:r>
        <w:rPr>
          <w:u w:val="single"/>
        </w:rPr>
        <w:t>Effective Date</w:t>
      </w:r>
      <w:r>
        <w:rPr/>
        <w:t>")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jc w:val="both"/>
        <w:rPr/>
      </w:pPr>
      <w:r>
        <w:rPr/>
      </w:r>
    </w:p>
    <w:p>
      <w:pPr>
        <w:pStyle w:val="Normal"/>
        <w:jc w:val="center"/>
        <w:rPr>
          <w:b/>
        </w:rPr>
      </w:pPr>
      <w:r>
        <w:rPr>
          <w:b/>
          <w:u w:val="single"/>
        </w:rPr>
        <w:t>ARTICLE 2. CONTRACT PRICE</w:t>
      </w:r>
    </w:p>
    <w:p>
      <w:pPr>
        <w:pStyle w:val="Normal"/>
        <w:jc w:val="both"/>
        <w:rPr>
          <w:b/>
        </w:rPr>
      </w:pPr>
      <w:r>
        <w:rPr>
          <w:b/>
        </w:rPr>
      </w:r>
    </w:p>
    <w:p>
      <w:pPr>
        <w:pStyle w:val="Normal"/>
        <w:jc w:val="both"/>
        <w:rPr/>
      </w:pPr>
      <w:r>
        <w:rPr>
          <w:b/>
        </w:rPr>
        <w:t>2.1.</w:t>
      </w:r>
      <w:r>
        <w:rPr/>
        <w:t xml:space="preserve"> </w:t>
        <w:tab/>
      </w:r>
      <w:r>
        <w:rPr>
          <w:b/>
          <w:u w:val="single"/>
        </w:rPr>
        <w:t>Initial Price</w:t>
      </w:r>
      <w:r>
        <w:rPr/>
        <w:t>.  From the Effective Date until that date that is three (3)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jc w:val="both"/>
        <w:rPr>
          <w:b/>
        </w:rPr>
      </w:pPr>
      <w:r>
        <w:rPr>
          <w:b/>
        </w:rPr>
      </w:r>
    </w:p>
    <w:p>
      <w:pPr>
        <w:pStyle w:val="Normal"/>
        <w:ind w:hanging="360" w:start="1080" w:end="0"/>
        <w:jc w:val="both"/>
        <w:rPr/>
      </w:pPr>
      <w:r>
        <w:rPr/>
        <w:t>(a)</w:t>
        <w:tab/>
        <w:t>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gathered during such Month under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volumes of Gas delivered hereunder each Day for up to eighty percent (80%) of Seller's First of the Month Scheduled Volume  the price shall be:</w:t>
      </w:r>
    </w:p>
    <w:p>
      <w:pPr>
        <w:pStyle w:val="Normal"/>
        <w:tabs>
          <w:tab w:val="clear" w:pos="720"/>
          <w:tab w:val="left" w:pos="630" w:leader="none"/>
        </w:tabs>
        <w:ind w:start="1440" w:end="0"/>
        <w:jc w:val="both"/>
        <w:rPr/>
      </w:pPr>
      <w:r>
        <w:rPr/>
      </w:r>
    </w:p>
    <w:p>
      <w:pPr>
        <w:pStyle w:val="Normal"/>
        <w:tabs>
          <w:tab w:val="clear" w:pos="720"/>
          <w:tab w:val="left" w:pos="630" w:leader="none"/>
        </w:tabs>
        <w:ind w:start="2160" w:end="0"/>
        <w:jc w:val="both"/>
        <w:rPr/>
      </w:pPr>
      <w:r>
        <w:rPr/>
        <w:t>(1)</w:t>
        <w:tab/>
        <w:t>for volumes up to the first 10,000 MMBtu per Day the price shall equal the Inside F.E.R.C. first of the Month "Index Price" for NGPL (OK), less the total of (i) Trailblazer Pipeline Company  transportation rates including fuel and surcharges, plus (ii) Wyoming Interstate Company's Medicine Bow Lateral  transportation rates including fuel and surcharges, plus (iii) the Gathering Services Fee including fuel and shrinkage; and</w:t>
      </w:r>
    </w:p>
    <w:p>
      <w:pPr>
        <w:pStyle w:val="Normal"/>
        <w:tabs>
          <w:tab w:val="clear" w:pos="720"/>
          <w:tab w:val="left" w:pos="630" w:leader="none"/>
        </w:tabs>
        <w:ind w:start="2160" w:end="0"/>
        <w:jc w:val="both"/>
        <w:rPr/>
      </w:pPr>
      <w:r>
        <w:rPr/>
      </w:r>
    </w:p>
    <w:p>
      <w:pPr>
        <w:pStyle w:val="Normal"/>
        <w:tabs>
          <w:tab w:val="clear" w:pos="720"/>
          <w:tab w:val="left" w:pos="630" w:leader="none"/>
        </w:tabs>
        <w:ind w:start="2160" w:end="0"/>
        <w:jc w:val="both"/>
        <w:rPr/>
      </w:pPr>
      <w:r>
        <w:rPr/>
        <w:t>(2)</w:t>
        <w:tab/>
        <w:t>for volumes in excess of 10,000 MMBtu per Day and up to eighty percent (80%) of the the First of the Month Scheduled Volume the price per MMBtu shall equal the Inside F.E.R.C. first of the Month "Index Price" for Colorado Interstate Gas Co. – Rocky Mountains plus $0.12 per MMBtu, less the total of (i) the Wyoming Interstate Company's Medicine Bow Lateral  transportation rates including fuel and surcharges, plus (ii) the Gathering Services Fee including fuel and shrinkage.</w:t>
      </w:r>
    </w:p>
    <w:p>
      <w:pPr>
        <w:pStyle w:val="Normal"/>
        <w:tabs>
          <w:tab w:val="clear" w:pos="720"/>
          <w:tab w:val="left" w:pos="630" w:leader="none"/>
        </w:tabs>
        <w:ind w:start="2160" w:end="0"/>
        <w:jc w:val="both"/>
        <w:rPr/>
      </w:pPr>
      <w:r>
        <w:rPr/>
      </w:r>
    </w:p>
    <w:p>
      <w:pPr>
        <w:pStyle w:val="Normal"/>
        <w:tabs>
          <w:tab w:val="clear" w:pos="720"/>
          <w:tab w:val="left" w:pos="630" w:leader="none"/>
        </w:tabs>
        <w:ind w:hanging="634" w:start="1354" w:end="0"/>
        <w:jc w:val="both"/>
        <w:rPr/>
      </w:pPr>
      <w:r>
        <w:rPr/>
        <w:t>(ii)</w:t>
        <w:tab/>
        <w:t xml:space="preserve">for the remaining volume of Seller's Gas delivered hereunder each Day the price shall equal the Gas Daily Price for Rockies, CIG (North System) for each Day minus $0.025 per MMBtu, less the Gathering Services Fee including fuel and shrinkage. </w:t>
      </w:r>
    </w:p>
    <w:p>
      <w:pPr>
        <w:pStyle w:val="Normal"/>
        <w:ind w:hanging="720" w:start="2160" w:end="0"/>
        <w:jc w:val="both"/>
        <w:rPr/>
      </w:pPr>
      <w:r>
        <w:rPr/>
      </w:r>
    </w:p>
    <w:p>
      <w:pPr>
        <w:pStyle w:val="BodyTextIndent"/>
        <w:ind w:hanging="0" w:end="0"/>
        <w:rPr>
          <w:rFonts w:ascii="Times New Roman" w:hAnsi="Times New Roman" w:cs="Times New Roman"/>
          <w:sz w:val="20"/>
        </w:rPr>
      </w:pPr>
      <w:r>
        <w:rPr>
          <w:rFonts w:cs="Times New Roman" w:ascii="Times New Roman" w:hAnsi="Times New Roman"/>
          <w:sz w:val="20"/>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sz w:val="20"/>
          <w:u w:val="single"/>
        </w:rPr>
      </w:pPr>
      <w:r>
        <w:rPr>
          <w:rFonts w:cs="Times New Roman"/>
          <w:sz w:val="20"/>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2.2</w:t>
      </w:r>
      <w:r>
        <w:rPr>
          <w:b/>
          <w:u w:val="single"/>
        </w:rPr>
        <w:t xml:space="preserve"> </w:t>
      </w:r>
      <w:r>
        <w:rPr>
          <w:b/>
        </w:rPr>
        <w:tab/>
      </w:r>
      <w:r>
        <w:rPr>
          <w:b/>
          <w:u w:val="single"/>
        </w:rPr>
        <w:t>Renegotiation/Gathering Option</w:t>
      </w:r>
      <w:r>
        <w:rPr/>
        <w:t>.  Sixty (60)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this Agreement shall be terminated and the Gathering Services Agreement shall remain effective and be controlling.</w:t>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widowControl/>
        <w:ind w:hanging="0" w:end="0"/>
        <w:rPr/>
      </w:pPr>
      <w:r>
        <w:rPr>
          <w:rFonts w:cs="Times New Roman" w:ascii="Times New Roman" w:hAnsi="Times New Roman"/>
          <w:b/>
          <w:sz w:val="20"/>
        </w:rPr>
        <w:t>3.1.</w:t>
      </w:r>
      <w:r>
        <w:rPr>
          <w:rFonts w:cs="Times New Roman" w:ascii="Times New Roman" w:hAnsi="Times New Roman"/>
          <w:sz w:val="20"/>
        </w:rPr>
        <w:t xml:space="preserve"> </w:t>
        <w:tab/>
      </w:r>
      <w:r>
        <w:rPr>
          <w:rFonts w:cs="Times New Roman" w:ascii="Times New Roman" w:hAnsi="Times New Roman"/>
          <w:b/>
          <w:sz w:val="20"/>
          <w:u w:val="single"/>
        </w:rPr>
        <w:t>Seller's Commitment</w:t>
      </w:r>
      <w:r>
        <w:rPr>
          <w:rFonts w:cs="Times New Roman" w:ascii="Times New Roman" w:hAnsi="Times New Roman"/>
          <w:sz w:val="20"/>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0"/>
          <w:u w:val="single"/>
        </w:rPr>
        <w:t>Exhibit A</w:t>
      </w:r>
      <w:r>
        <w:rPr>
          <w:rFonts w:cs="Times New Roman" w:ascii="Times New Roman" w:hAnsi="Times New Roman"/>
          <w:sz w:val="20"/>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jc w:val="both"/>
        <w:rPr/>
      </w:pPr>
      <w:r>
        <w:rPr>
          <w:b/>
        </w:rPr>
        <w:t>3.2.</w:t>
      </w:r>
      <w:r>
        <w:rPr/>
        <w:t xml:space="preserve"> </w:t>
        <w:tab/>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as soon as reasonably practical, (ii) to use Gas produced from the Subject Leases for operating the Subject Leases, and (iii)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jc w:val="both"/>
        <w:rPr/>
      </w:pPr>
      <w:r>
        <w:rPr/>
      </w:r>
    </w:p>
    <w:p>
      <w:pPr>
        <w:pStyle w:val="Normal"/>
        <w:jc w:val="both"/>
        <w:rPr/>
      </w:pPr>
      <w:r>
        <w:rPr>
          <w:b/>
        </w:rPr>
        <w:t>3.3.</w:t>
        <w:tab/>
      </w:r>
      <w:r>
        <w:rPr>
          <w:b/>
          <w:u w:val="single"/>
        </w:rPr>
        <w:t>Buyer's Purchase Committment</w:t>
      </w:r>
      <w:r>
        <w:rPr/>
        <w:t xml:space="preserve">. Except as otherwise provided herein, Buyer shall commit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w:t>
      </w:r>
    </w:p>
    <w:p>
      <w:pPr>
        <w:pStyle w:val="Normal"/>
        <w:jc w:val="both"/>
        <w:rPr/>
      </w:pPr>
      <w:r>
        <w:rPr/>
      </w:r>
    </w:p>
    <w:p>
      <w:pPr>
        <w:pStyle w:val="Normal"/>
        <w:jc w:val="center"/>
        <w:rPr>
          <w:b/>
        </w:rPr>
      </w:pPr>
      <w:r>
        <w:rPr>
          <w:b/>
          <w:u w:val="single"/>
        </w:rPr>
        <w:t>ARTICLE 4. DELIVERY POINT(S)/MEASUREMENT/PRESSURE/MAINTENANCE</w:t>
      </w:r>
    </w:p>
    <w:p>
      <w:pPr>
        <w:pStyle w:val="Normal"/>
        <w:jc w:val="both"/>
        <w:rPr>
          <w:b/>
        </w:rPr>
      </w:pPr>
      <w:r>
        <w:rPr>
          <w:b/>
        </w:rPr>
      </w:r>
    </w:p>
    <w:p>
      <w:pPr>
        <w:pStyle w:val="Norma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cause Enron Midstream Services, L.L.C. (hereinafter referred to as “Gatherer”) to install and maintain compression facilities which have an average design suction pressure of five (5) psig.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jc w:val="both"/>
        <w:rPr>
          <w:b/>
          <w:u w:val="single"/>
        </w:rPr>
      </w:pPr>
      <w:r>
        <w:rPr>
          <w:b/>
          <w:u w:val="single"/>
        </w:rPr>
      </w:r>
    </w:p>
    <w:p>
      <w:pPr>
        <w:pStyle w:val="Normal"/>
        <w:jc w:val="center"/>
        <w:rPr>
          <w:b/>
        </w:rPr>
      </w:pPr>
      <w:r>
        <w:rPr>
          <w:b/>
          <w:u w:val="single"/>
        </w:rPr>
        <w:t>ARTICLE 5.  FORCE MAJEURE</w:t>
      </w:r>
    </w:p>
    <w:p>
      <w:pPr>
        <w:pStyle w:val="Normal"/>
        <w:jc w:val="both"/>
        <w:rPr>
          <w:b/>
        </w:rPr>
      </w:pPr>
      <w:r>
        <w:rPr>
          <w:b/>
        </w:rPr>
      </w:r>
    </w:p>
    <w:p>
      <w:pPr>
        <w:pStyle w:val="Norma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jc w:val="both"/>
        <w:rPr/>
      </w:pPr>
      <w:r>
        <w:rPr/>
      </w:r>
    </w:p>
    <w:p>
      <w:pPr>
        <w:pStyle w:val="Normal"/>
        <w:jc w:val="center"/>
        <w:rPr>
          <w:b/>
        </w:rPr>
      </w:pPr>
      <w:r>
        <w:rPr>
          <w:b/>
          <w:u w:val="single"/>
        </w:rPr>
        <w:t>ARTICLE 6.  TAXES</w:t>
      </w:r>
    </w:p>
    <w:p>
      <w:pPr>
        <w:pStyle w:val="Normal"/>
        <w:jc w:val="both"/>
        <w:rPr>
          <w:b/>
        </w:rPr>
      </w:pPr>
      <w:r>
        <w:rPr>
          <w:b/>
        </w:rPr>
      </w:r>
    </w:p>
    <w:p>
      <w:pPr>
        <w:pStyle w:val="Norma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jc w:val="both"/>
        <w:rPr/>
      </w:pPr>
      <w:r>
        <w:rPr/>
      </w:r>
    </w:p>
    <w:p>
      <w:pPr>
        <w:pStyle w:val="Normal"/>
        <w:jc w:val="center"/>
        <w:rPr>
          <w:b/>
        </w:rPr>
      </w:pPr>
      <w:r>
        <w:rPr>
          <w:b/>
          <w:u w:val="single"/>
        </w:rPr>
        <w:t>ARTICLE 7.  OTHER MATTERS</w:t>
      </w:r>
    </w:p>
    <w:p>
      <w:pPr>
        <w:pStyle w:val="Normal"/>
        <w:jc w:val="both"/>
        <w:rPr>
          <w:b/>
        </w:rPr>
      </w:pPr>
      <w:r>
        <w:rPr>
          <w:b/>
        </w:rPr>
      </w:r>
    </w:p>
    <w:p>
      <w:pPr>
        <w:pStyle w:val="Normal"/>
        <w:jc w:val="both"/>
        <w:rPr/>
      </w:pPr>
      <w:r>
        <w:rPr>
          <w:b/>
        </w:rPr>
        <w:t>7.1.</w:t>
        <w:tab/>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jc w:val="both"/>
        <w:rPr>
          <w:b/>
        </w:rPr>
      </w:pPr>
      <w:r>
        <w:rPr/>
        <w:t xml:space="preserve">  </w:t>
      </w:r>
    </w:p>
    <w:p>
      <w:pPr>
        <w:pStyle w:val="Normal"/>
        <w:jc w:val="both"/>
        <w:rPr/>
      </w:pPr>
      <w:r>
        <w:rPr>
          <w:b/>
        </w:rPr>
        <w:t>7.2.</w:t>
        <w:tab/>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No such transfer shall operate to relieve the transferring Party of its obligations, until such time as the other party has been provided a copy of said assignment transfer.  If either Party fails to respond to a request for approval of assignment hereunder within thirty (30) days of receipt of written notice, such assignment shall be deemed approved.  For purposes of this provision, notice shall mean a writing delivered by certified mail, return receipt requested or trackable overnight delivery or courier service and shall be deemed delivered when received.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jc w:val="both"/>
        <w:rPr/>
      </w:pPr>
      <w:r>
        <w:rPr/>
      </w:r>
    </w:p>
    <w:p>
      <w:pPr>
        <w:pStyle w:val="Normal"/>
        <w:jc w:val="both"/>
        <w:rPr/>
      </w:pPr>
      <w:r>
        <w:rPr>
          <w:b/>
        </w:rPr>
        <w:t>7.3.</w:t>
        <w:tab/>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jc w:val="both"/>
        <w:rPr/>
      </w:pPr>
      <w:r>
        <w:rPr>
          <w:b/>
        </w:rPr>
        <w:t>7.4.</w:t>
        <w:tab/>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jc w:val="both"/>
        <w:rPr/>
      </w:pPr>
      <w:r>
        <w:rPr/>
      </w:r>
    </w:p>
    <w:p>
      <w:pPr>
        <w:pStyle w:val="Normal"/>
        <w:jc w:val="both"/>
        <w:rPr/>
      </w:pPr>
      <w:r>
        <w:rPr>
          <w:b/>
        </w:rPr>
        <w:t>7.5.</w:t>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renegotiate or  terminate this Agreement upon thirty (30) Days advance written notice to Seller.  </w:t>
      </w:r>
    </w:p>
    <w:p>
      <w:pPr>
        <w:pStyle w:val="Normal"/>
        <w:jc w:val="both"/>
        <w:rPr/>
      </w:pPr>
      <w:r>
        <w:rPr/>
      </w:r>
    </w:p>
    <w:p>
      <w:pPr>
        <w:pStyle w:val="Normal"/>
        <w:jc w:val="both"/>
        <w:rPr/>
      </w:pPr>
      <w:r>
        <w:rPr/>
        <w:t>The Parties have executed this Agreement in multiple counterparts effective as of the Effective Date.</w:t>
      </w:r>
    </w:p>
    <w:p>
      <w:pPr>
        <w:pStyle w:val="Normal"/>
        <w:jc w:val="both"/>
        <w:rPr/>
      </w:pPr>
      <w:r>
        <w:rPr/>
      </w:r>
    </w:p>
    <w:p>
      <w:pPr>
        <w:pStyle w:val="Normal"/>
        <w:tabs>
          <w:tab w:val="clear" w:pos="720"/>
          <w:tab w:val="left" w:pos="4050" w:leader="none"/>
          <w:tab w:val="left" w:pos="5400" w:leader="none"/>
          <w:tab w:val="left" w:pos="9360" w:leader="none"/>
        </w:tabs>
        <w:rPr>
          <w:b/>
        </w:rPr>
      </w:pPr>
      <w:r>
        <w:rPr>
          <w:b/>
        </w:rPr>
        <w:t>ENRON NORTH AMERICA CORP.</w:t>
        <w:tab/>
        <w:tab/>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b/>
        </w:rPr>
      </w:pPr>
      <w:r>
        <w:rPr>
          <w:b/>
        </w:rPr>
        <w:t>PETROGULF CORPORATION</w:t>
      </w:r>
    </w:p>
    <w:p>
      <w:pPr>
        <w:pStyle w:val="Normal"/>
        <w:tabs>
          <w:tab w:val="clear" w:pos="720"/>
          <w:tab w:val="left" w:pos="4050" w:leader="none"/>
          <w:tab w:val="left" w:pos="5400" w:leader="none"/>
          <w:tab w:val="left" w:pos="9360" w:leader="none"/>
        </w:tabs>
        <w:rPr>
          <w:b/>
        </w:rPr>
      </w:pPr>
      <w:r>
        <w:rPr>
          <w:b/>
        </w:rPr>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Name:</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u w:val="single"/>
        </w:rPr>
      </w:pPr>
      <w:r>
        <w:rPr>
          <w:u w:val="single"/>
        </w:rPr>
      </w:r>
    </w:p>
    <w:p>
      <w:pPr>
        <w:pStyle w:val="Normal"/>
        <w:jc w:val="center"/>
        <w:rPr>
          <w:b/>
          <w:u w:val="single"/>
        </w:rPr>
      </w:pPr>
      <w:r>
        <w:rPr>
          <w:b/>
          <w:u w:val="single"/>
        </w:rPr>
        <w:t>APPENDIX "1"</w:t>
      </w:r>
    </w:p>
    <w:p>
      <w:pPr>
        <w:pStyle w:val="Normal"/>
        <w:jc w:val="center"/>
        <w:rPr>
          <w:b/>
          <w:u w:val="single"/>
        </w:rPr>
      </w:pPr>
      <w:r>
        <w:rPr>
          <w:b/>
          <w:u w:val="single"/>
        </w:rPr>
        <w:t>GENERAL PROVISIONS</w:t>
      </w:r>
    </w:p>
    <w:p>
      <w:pPr>
        <w:pStyle w:val="Normal"/>
        <w:jc w:val="both"/>
        <w:rPr>
          <w:b/>
          <w:u w:val="single"/>
        </w:rPr>
      </w:pPr>
      <w:r>
        <w:rPr>
          <w:b/>
          <w:u w:val="single"/>
        </w:rPr>
      </w:r>
    </w:p>
    <w:p>
      <w:pPr>
        <w:pStyle w:val="Norma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rPr>
          <w:sz w:val="20"/>
        </w:rPr>
      </w:pPr>
      <w:r>
        <w:rPr>
          <w:sz w:val="20"/>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jc w:val="both"/>
        <w:rPr/>
      </w:pPr>
      <w:r>
        <w:rPr/>
        <w:t>"</w:t>
      </w:r>
      <w:r>
        <w:rPr>
          <w:b/>
          <w:i/>
          <w:u w:val="single"/>
        </w:rPr>
        <w:t>C.T.</w:t>
      </w:r>
      <w:r>
        <w:rPr/>
        <w:t>" means Central Time as adjusted for daylight savings time.</w:t>
      </w:r>
    </w:p>
    <w:p>
      <w:pPr>
        <w:pStyle w:val="Norma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jc w:val="both"/>
        <w:rPr/>
      </w:pPr>
      <w:r>
        <w:rPr/>
        <w:t>"</w:t>
      </w:r>
      <w:r>
        <w:rPr>
          <w:b/>
          <w:i/>
          <w:u w:val="single"/>
        </w:rPr>
        <w:t>Day</w:t>
      </w:r>
      <w:r>
        <w:rPr/>
        <w:t>" means a period of time beginning and ending at nine o'clock a.m. Central Clock Time.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jc w:val="both"/>
        <w:rPr/>
      </w:pPr>
      <w:r>
        <w:rPr/>
        <w:t>"</w:t>
      </w:r>
      <w:r>
        <w:rPr>
          <w:b/>
          <w:i/>
          <w:u w:val="single"/>
        </w:rPr>
        <w:t>Facilities Development Plan</w:t>
      </w:r>
      <w:r>
        <w:rPr/>
        <w:t>" means the Facilities Development Plan attached as Exhibit "_" to the Gathering Services Agreement.</w:t>
      </w:r>
    </w:p>
    <w:p>
      <w:pPr>
        <w:pStyle w:val="Norma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jc w:val="both"/>
        <w:rPr/>
      </w:pPr>
      <w:r>
        <w:rPr>
          <w:color w:val="000000"/>
        </w:rPr>
        <w:t>"</w:t>
      </w:r>
      <w:r>
        <w:rPr>
          <w:b/>
          <w:i/>
          <w:color w:val="000000"/>
          <w:u w:val="single"/>
        </w:rPr>
        <w:t>Gathering Services Agreement</w:t>
      </w:r>
      <w:r>
        <w:rPr>
          <w:color w:val="000000"/>
        </w:rPr>
        <w:t>" means that certain Gathering Services Agreement between Enron Midstream Services, L.L.C. and Seller covering the Committed Reserves, dated of even date herewith.</w:t>
      </w:r>
    </w:p>
    <w:p>
      <w:pPr>
        <w:pStyle w:val="Norma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$0.45 per Mcf of Gas delivered at the Delivery Point, plus actual fuel and shrinkage. </w:t>
      </w:r>
    </w:p>
    <w:p>
      <w:pPr>
        <w:pStyle w:val="Norma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jc w:val="both"/>
        <w:rPr/>
      </w:pPr>
      <w:r>
        <w:rPr/>
        <w:t>"</w:t>
      </w:r>
      <w:r>
        <w:rPr>
          <w:b/>
          <w:i/>
          <w:u w:val="single"/>
        </w:rPr>
        <w:t>Maximum Daily Quantity</w:t>
      </w:r>
      <w:r>
        <w:rPr/>
        <w:t>" means 60,000 MMBtu of Gas a Day.</w:t>
      </w:r>
    </w:p>
    <w:p>
      <w:pPr>
        <w:pStyle w:val="BodyText"/>
        <w:rPr/>
      </w:pPr>
      <w:r>
        <w:rPr>
          <w:rFonts w:cs="Times New Roman" w:ascii="Times New Roman" w:hAnsi="Times New Roman"/>
          <w:sz w:val="20"/>
        </w:rPr>
        <w:t>"</w:t>
      </w:r>
      <w:r>
        <w:rPr>
          <w:rFonts w:cs="Times New Roman" w:ascii="Times New Roman" w:hAnsi="Times New Roman"/>
          <w:i/>
          <w:sz w:val="20"/>
          <w:u w:val="single"/>
        </w:rPr>
        <w:t>Mcf</w:t>
      </w:r>
      <w:r>
        <w:rPr>
          <w:rFonts w:cs="Times New Roman" w:ascii="Times New Roman" w:hAnsi="Times New Roman"/>
          <w:b w:val="false"/>
          <w:sz w:val="20"/>
        </w:rPr>
        <w:t>"</w:t>
      </w:r>
      <w:r>
        <w:rPr>
          <w:rFonts w:cs="Times New Roman" w:ascii="Times New Roman" w:hAnsi="Times New Roman"/>
          <w:sz w:val="20"/>
        </w:rPr>
        <w:t xml:space="preserve"> </w:t>
      </w:r>
      <w:r>
        <w:rPr>
          <w:rFonts w:cs="Times New Roman" w:ascii="Times New Roman" w:hAnsi="Times New Roman"/>
          <w:b w:val="false"/>
          <w:sz w:val="20"/>
        </w:rPr>
        <w:t xml:space="preserve">means 1,000 cubic feet of Gas at a pressure of 14.73 p.s.i.a. and at a temperature of 60 degrees Fahrenheit.  </w:t>
      </w:r>
      <w:r>
        <w:rPr>
          <w:rFonts w:cs="Times New Roman" w:ascii="Times New Roman" w:hAnsi="Times New Roman"/>
          <w:sz w:val="20"/>
        </w:rPr>
        <w:t>"</w:t>
      </w:r>
      <w:r>
        <w:rPr>
          <w:rFonts w:cs="Times New Roman" w:ascii="Times New Roman" w:hAnsi="Times New Roman"/>
          <w:i/>
          <w:sz w:val="20"/>
          <w:u w:val="single"/>
        </w:rPr>
        <w:t>Bcf</w:t>
      </w:r>
      <w:r>
        <w:rPr>
          <w:rFonts w:cs="Times New Roman" w:ascii="Times New Roman" w:hAnsi="Times New Roman"/>
          <w:sz w:val="20"/>
        </w:rPr>
        <w:t>"</w:t>
      </w:r>
      <w:r>
        <w:rPr>
          <w:rFonts w:cs="Times New Roman" w:ascii="Times New Roman" w:hAnsi="Times New Roman"/>
          <w:b w:val="false"/>
          <w:sz w:val="20"/>
        </w:rPr>
        <w:t xml:space="preserve"> means one million Mcf.  </w:t>
      </w:r>
    </w:p>
    <w:p>
      <w:pPr>
        <w:pStyle w:val="BodyText"/>
        <w:rPr/>
      </w:pPr>
      <w:r>
        <w:rPr>
          <w:rFonts w:cs="Times New Roman" w:ascii="Times New Roman" w:hAnsi="Times New Roman"/>
          <w:sz w:val="20"/>
        </w:rPr>
        <w:t>"</w:t>
      </w:r>
      <w:r>
        <w:rPr>
          <w:rFonts w:cs="Times New Roman" w:ascii="Times New Roman" w:hAnsi="Times New Roman"/>
          <w:i/>
          <w:sz w:val="20"/>
          <w:u w:val="single"/>
        </w:rPr>
        <w:t>Measurement Point</w:t>
      </w:r>
      <w:r>
        <w:rPr>
          <w:rFonts w:cs="Times New Roman" w:ascii="Times New Roman" w:hAnsi="Times New Roman"/>
          <w:sz w:val="20"/>
        </w:rPr>
        <w:t>"</w:t>
      </w:r>
      <w:r>
        <w:rPr>
          <w:rFonts w:cs="Times New Roman" w:ascii="Times New Roman" w:hAnsi="Times New Roman"/>
          <w:b w:val="false"/>
          <w:sz w:val="20"/>
        </w:rPr>
        <w:t xml:space="preserve"> shall mean the inlet flange of Buyer's Transporter's meter located at the screw compressor applicable to each Delivery Point.</w:t>
      </w:r>
    </w:p>
    <w:p>
      <w:pPr>
        <w:pStyle w:val="Normal"/>
        <w:jc w:val="both"/>
        <w:rPr/>
      </w:pPr>
      <w:r>
        <w:rPr/>
        <w:t>"</w:t>
      </w:r>
      <w:r>
        <w:rPr>
          <w:b/>
          <w:i/>
          <w:u w:val="single"/>
        </w:rPr>
        <w:t>Month</w:t>
      </w:r>
      <w:r>
        <w:rPr/>
        <w:t>" means a period commencing midnight C.T. the first Day of a calendar month and closing midnight C.T. the first Day of the next calendar month.</w:t>
      </w:r>
    </w:p>
    <w:p>
      <w:pPr>
        <w:pStyle w:val="Norma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jc w:val="both"/>
        <w:rPr/>
      </w:pPr>
      <w:r>
        <w:rPr/>
        <w:t>"</w:t>
      </w:r>
      <w:r>
        <w:rPr>
          <w:b/>
          <w:i/>
          <w:u w:val="single"/>
        </w:rPr>
        <w:t>Pipeline</w:t>
      </w:r>
      <w:r>
        <w:rPr/>
        <w:t>" means a company authorized to ship Gas on behalf of itself or others on physical Gas transmission facilities.</w:t>
      </w:r>
    </w:p>
    <w:p>
      <w:pPr>
        <w:pStyle w:val="Normal"/>
        <w:jc w:val="both"/>
        <w:rPr/>
      </w:pPr>
      <w:r>
        <w:rPr>
          <w:b/>
        </w:rPr>
        <w:t>"</w:t>
      </w:r>
      <w:r>
        <w:rPr>
          <w:b/>
          <w:i/>
          <w:u w:val="single"/>
        </w:rPr>
        <w:t>psig</w:t>
      </w:r>
      <w:r>
        <w:rPr>
          <w:b/>
        </w:rPr>
        <w:t xml:space="preserve">" </w:t>
      </w:r>
      <w:r>
        <w:rPr/>
        <w:t>means pounds per square inch gauge.</w:t>
      </w:r>
    </w:p>
    <w:p>
      <w:pPr>
        <w:pStyle w:val="Normal"/>
        <w:jc w:val="both"/>
        <w:rPr/>
      </w:pPr>
      <w:r>
        <w:rPr/>
        <w:t>"</w:t>
      </w:r>
      <w:r>
        <w:rPr>
          <w:b/>
          <w:i/>
          <w:u w:val="single"/>
        </w:rPr>
        <w:t>Renegotiation Election</w:t>
      </w:r>
      <w:r>
        <w:rPr/>
        <w:t>" shall have the meaning set forth in Section 2.2 of the Agreement.</w:t>
      </w:r>
    </w:p>
    <w:p>
      <w:pPr>
        <w:pStyle w:val="Norma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jc w:val="both"/>
        <w:rPr/>
      </w:pPr>
      <w:r>
        <w:rPr/>
      </w:r>
    </w:p>
    <w:p>
      <w:pPr>
        <w:pStyle w:val="Norma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jc w:val="both"/>
        <w:rPr>
          <w:b/>
          <w:smallCaps/>
        </w:rPr>
      </w:pPr>
      <w:r>
        <w:rPr>
          <w:b/>
          <w:smallCaps/>
        </w:rPr>
      </w:r>
    </w:p>
    <w:p>
      <w:pPr>
        <w:pStyle w:val="Norma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Seller shall remain fully responsible to assure compliance with the requirements of the Wyoming Royalty Payment Act, W.S. §§ 30-5-301, et seq.  Buyer is not agreeing to assume Seller's responsibilities as provided in the Act.</w:t>
      </w:r>
    </w:p>
    <w:p>
      <w:pPr>
        <w:pStyle w:val="Norma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BodyText2"/>
        <w:numPr>
          <w:ilvl w:val="0"/>
          <w:numId w:val="3"/>
        </w:numPr>
        <w:tabs>
          <w:tab w:val="left" w:pos="1440" w:leader="none"/>
          <w:tab w:val="left" w:pos="3960" w:leader="none"/>
        </w:tabs>
        <w:jc w:val="both"/>
        <w:rPr>
          <w:sz w:val="20"/>
        </w:rPr>
      </w:pPr>
      <w:r>
        <w:rPr>
          <w:sz w:val="20"/>
        </w:rPr>
        <w:t>Have a total heating value of not less than nine hundred fifty (950) Btu’s per cubic foot;</w:t>
      </w:r>
    </w:p>
    <w:p>
      <w:pPr>
        <w:pStyle w:val="BodyText2"/>
        <w:numPr>
          <w:ilvl w:val="0"/>
          <w:numId w:val="3"/>
        </w:numPr>
        <w:tabs>
          <w:tab w:val="left" w:pos="1440" w:leader="none"/>
          <w:tab w:val="left" w:pos="3960" w:leader="none"/>
        </w:tabs>
        <w:jc w:val="both"/>
        <w:rPr>
          <w:sz w:val="20"/>
        </w:rPr>
      </w:pPr>
      <w:r>
        <w:rPr>
          <w:sz w:val="20"/>
        </w:rPr>
        <w:t>Be commercially free of all dust, non-vaporous hydrocarbon liquids, suspended matter, all gums and gum forming constituents and any other objectionable substances;</w:t>
      </w:r>
    </w:p>
    <w:p>
      <w:pPr>
        <w:pStyle w:val="BodyText2"/>
        <w:numPr>
          <w:ilvl w:val="0"/>
          <w:numId w:val="3"/>
        </w:numPr>
        <w:tabs>
          <w:tab w:val="left" w:pos="1440" w:leader="none"/>
          <w:tab w:val="left" w:pos="3960" w:leader="none"/>
        </w:tabs>
        <w:jc w:val="both"/>
        <w:rPr>
          <w:sz w:val="20"/>
        </w:rPr>
      </w:pPr>
      <w:r>
        <w:rPr>
          <w:sz w:val="20"/>
        </w:rPr>
        <w:t>Contain not more than twenty (20) grains of total sulfur, nor more than one-fourth (1/4) grain of hydrogen sulfide per one hundred (100) standard cubic feet;</w:t>
      </w:r>
    </w:p>
    <w:p>
      <w:pPr>
        <w:pStyle w:val="BodyText2"/>
        <w:numPr>
          <w:ilvl w:val="0"/>
          <w:numId w:val="3"/>
        </w:numPr>
        <w:tabs>
          <w:tab w:val="left" w:pos="1440" w:leader="none"/>
          <w:tab w:val="left" w:pos="3960" w:leader="none"/>
        </w:tabs>
        <w:jc w:val="both"/>
        <w:rPr>
          <w:sz w:val="20"/>
        </w:rPr>
      </w:pPr>
      <w:r>
        <w:rPr>
          <w:sz w:val="20"/>
        </w:rPr>
        <w:t>Contain not more than four percent (4%) by volume of carbon dioxide (CO</w:t>
      </w:r>
      <w:r>
        <w:rPr>
          <w:sz w:val="20"/>
          <w:vertAlign w:val="subscript"/>
        </w:rPr>
        <w:t>2</w:t>
      </w:r>
      <w:r>
        <w:rPr>
          <w:sz w:val="20"/>
        </w:rPr>
        <w:t>);</w:t>
      </w:r>
    </w:p>
    <w:p>
      <w:pPr>
        <w:pStyle w:val="BodyText2"/>
        <w:numPr>
          <w:ilvl w:val="0"/>
          <w:numId w:val="3"/>
        </w:numPr>
        <w:tabs>
          <w:tab w:val="left" w:pos="1440" w:leader="none"/>
          <w:tab w:val="left" w:pos="3960" w:leader="none"/>
        </w:tabs>
        <w:jc w:val="both"/>
        <w:rPr>
          <w:sz w:val="20"/>
        </w:rPr>
      </w:pPr>
      <w:r>
        <w:rPr>
          <w:sz w:val="20"/>
        </w:rPr>
        <w:t>Have no greater than 10 ppm of oxygen;</w:t>
      </w:r>
    </w:p>
    <w:p>
      <w:pPr>
        <w:pStyle w:val="BodyText2"/>
        <w:numPr>
          <w:ilvl w:val="0"/>
          <w:numId w:val="3"/>
        </w:numPr>
        <w:tabs>
          <w:tab w:val="left" w:pos="1440" w:leader="none"/>
          <w:tab w:val="left" w:pos="3960" w:leader="none"/>
        </w:tabs>
        <w:jc w:val="both"/>
        <w:rPr>
          <w:sz w:val="20"/>
        </w:rPr>
      </w:pPr>
      <w:r>
        <w:rPr>
          <w:sz w:val="20"/>
        </w:rPr>
        <w:t>Not contain more than six percent (6%) by volume of total inerts;</w:t>
      </w:r>
    </w:p>
    <w:p>
      <w:pPr>
        <w:pStyle w:val="BodyText2"/>
        <w:numPr>
          <w:ilvl w:val="0"/>
          <w:numId w:val="3"/>
        </w:numPr>
        <w:tabs>
          <w:tab w:val="left" w:pos="1440" w:leader="none"/>
          <w:tab w:val="left" w:pos="3960" w:leader="none"/>
        </w:tabs>
        <w:jc w:val="both"/>
        <w:rPr>
          <w:sz w:val="20"/>
        </w:rPr>
      </w:pPr>
      <w:r>
        <w:rPr>
          <w:sz w:val="20"/>
        </w:rPr>
        <w:t>Have a temperature of not less than forty degrees Fahrenheit (40</w:t>
      </w:r>
      <w:r>
        <w:rPr>
          <w:rFonts w:eastAsia="Symbol" w:cs="Symbol" w:ascii="Symbol" w:hAnsi="Symbol"/>
          <w:sz w:val="20"/>
        </w:rPr>
        <w:sym w:font="Symbol" w:char="f0b0"/>
      </w:r>
      <w:r>
        <w:rPr>
          <w:sz w:val="20"/>
        </w:rPr>
        <w:t>F) nor greater than one hundred and twenty degrees Fahrenheit (120</w:t>
      </w:r>
      <w:r>
        <w:rPr>
          <w:rFonts w:eastAsia="Symbol" w:cs="Symbol" w:ascii="Symbol" w:hAnsi="Symbol"/>
          <w:sz w:val="20"/>
        </w:rPr>
        <w:sym w:font="Symbol" w:char="f0b0"/>
      </w:r>
      <w:r>
        <w:rPr>
          <w:sz w:val="20"/>
        </w:rPr>
        <w:t>F); and</w:t>
      </w:r>
    </w:p>
    <w:p>
      <w:pPr>
        <w:pStyle w:val="BodyText2"/>
        <w:numPr>
          <w:ilvl w:val="0"/>
          <w:numId w:val="3"/>
        </w:numPr>
        <w:tabs>
          <w:tab w:val="left" w:pos="1440" w:leader="none"/>
          <w:tab w:val="left" w:pos="3960" w:leader="none"/>
        </w:tabs>
        <w:jc w:val="both"/>
        <w:rPr>
          <w:sz w:val="20"/>
        </w:rPr>
      </w:pPr>
      <w:r>
        <w:rPr>
          <w:sz w:val="20"/>
        </w:rPr>
        <w:t>Not contain more than five (5) pounds of entrained water vapor per millioncubit feet and no free water; and</w:t>
      </w:r>
    </w:p>
    <w:p>
      <w:pPr>
        <w:pStyle w:val="BodyText2"/>
        <w:numPr>
          <w:ilvl w:val="0"/>
          <w:numId w:val="3"/>
        </w:numPr>
        <w:tabs>
          <w:tab w:val="left" w:pos="1440" w:leader="none"/>
          <w:tab w:val="left" w:pos="3960" w:leader="none"/>
        </w:tabs>
        <w:jc w:val="both"/>
        <w:rPr>
          <w:sz w:val="20"/>
        </w:rPr>
      </w:pPr>
      <w:r>
        <w:rPr>
          <w:sz w:val="20"/>
        </w:rPr>
        <w:t>Have a hydrocarbon dew point no greater than twenty-five degrees (25</w:t>
      </w:r>
      <w:r>
        <w:rPr>
          <w:rFonts w:eastAsia="Symbol" w:cs="Symbol" w:ascii="Symbol" w:hAnsi="Symbol"/>
          <w:sz w:val="20"/>
        </w:rPr>
        <w:sym w:font="Symbol" w:char="f0b0"/>
      </w:r>
      <w:r>
        <w:rPr>
          <w:sz w:val="20"/>
        </w:rPr>
        <w:t>) Fahrenheit.</w:t>
      </w:r>
    </w:p>
    <w:p>
      <w:pPr>
        <w:pStyle w:val="BodyText2"/>
        <w:tabs>
          <w:tab w:val="left" w:pos="1440" w:leader="none"/>
          <w:tab w:val="left" w:pos="3960" w:leader="none"/>
        </w:tabs>
        <w:ind w:hanging="0" w:start="720" w:end="0"/>
        <w:jc w:val="both"/>
        <w:rPr/>
      </w:pPr>
      <w:r>
        <w:rPr>
          <w:sz w:val="20"/>
        </w:rPr>
        <w:t xml:space="preserve">Any Gas not conforming to the above Specifications shall be governed by the terms and conditions of </w:t>
      </w:r>
      <w:r>
        <w:rPr>
          <w:sz w:val="20"/>
          <w:u w:val="single"/>
        </w:rPr>
        <w:t>Section 6.2</w:t>
      </w:r>
      <w:r>
        <w:rPr>
          <w:sz w:val="20"/>
        </w:rPr>
        <w:t xml:space="preserve"> of the general terms and conditions to the Gathering Services Agreement.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jc w:val="center"/>
        <w:rPr>
          <w:b/>
        </w:rPr>
      </w:pPr>
      <w:r>
        <w:rPr>
          <w:b/>
        </w:rPr>
        <w:t>EXHIBIT "A"</w:t>
      </w:r>
    </w:p>
    <w:p>
      <w:pPr>
        <w:pStyle w:val="Normal"/>
        <w:jc w:val="center"/>
        <w:rPr/>
      </w:pPr>
      <w:r>
        <w:rPr/>
        <w:t>GAS PURCHASE AGREEMENT</w:t>
      </w:r>
    </w:p>
    <w:p>
      <w:pPr>
        <w:pStyle w:val="Normal"/>
        <w:jc w:val="center"/>
        <w:rPr/>
      </w:pPr>
      <w:r>
        <w:rPr/>
        <w:t>PLAT OR SURVEY OF COMMITTED RESERVES</w:t>
      </w:r>
    </w:p>
    <w:p>
      <w:pPr>
        <w:pStyle w:val="Normal"/>
        <w:jc w:val="center"/>
        <w:rPr/>
      </w:pPr>
      <w:r>
        <w:rPr/>
        <w:t>AND EXCEPTIONS TO RESERVE COMMITTMENT</w:t>
      </w:r>
      <w:r>
        <w:br w:type="page"/>
      </w:r>
    </w:p>
    <w:p>
      <w:pPr>
        <w:pStyle w:val="Normal"/>
        <w:jc w:val="center"/>
        <w:rPr>
          <w:b/>
        </w:rPr>
      </w:pPr>
      <w:r>
        <w:rPr>
          <w:b/>
        </w:rPr>
        <w:t>EXHIBIT "B"</w:t>
      </w:r>
    </w:p>
    <w:p>
      <w:pPr>
        <w:pStyle w:val="Normal"/>
        <w:jc w:val="center"/>
        <w:rPr/>
      </w:pPr>
      <w:r>
        <w:rPr/>
        <w:t>GAS PURCHASE AGREEMENT</w:t>
      </w:r>
    </w:p>
    <w:p>
      <w:pPr>
        <w:pStyle w:val="Normal"/>
        <w:jc w:val="center"/>
        <w:rPr/>
      </w:pPr>
      <w:r>
        <w:rPr/>
        <w:t>WELLS CONTAINED WITHIN THE SUBJECT LEASES</w:t>
      </w:r>
    </w:p>
    <w:p>
      <w:pPr>
        <w:pStyle w:val="Normal"/>
        <w:jc w:val="both"/>
        <w:rPr/>
      </w:pPr>
      <w:r>
        <w:rPr/>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Meter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Initial Well Facility No.</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Field</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County, State</w:t>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Working Interest</w:t>
            </w:r>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p>
    <w:p>
      <w:pPr>
        <w:pStyle w:val="Normal"/>
        <w:jc w:val="both"/>
        <w:rPr/>
      </w:pPr>
      <w:r>
        <w:rPr/>
      </w:r>
      <w:r>
        <w:br w:type="page"/>
      </w:r>
    </w:p>
    <w:p>
      <w:pPr>
        <w:pStyle w:val="Normal"/>
        <w:jc w:val="center"/>
        <w:rPr>
          <w:b/>
        </w:rPr>
      </w:pPr>
      <w:r>
        <w:rPr>
          <w:b/>
        </w:rPr>
        <w:t>EXHIBIT "C"</w:t>
      </w:r>
    </w:p>
    <w:p>
      <w:pPr>
        <w:pStyle w:val="Normal"/>
        <w:jc w:val="center"/>
        <w:rPr/>
      </w:pPr>
      <w:r>
        <w:rPr/>
        <w:t>GAS PURCHASE AGREEMENT</w:t>
      </w:r>
    </w:p>
    <w:p>
      <w:pPr>
        <w:pStyle w:val="Normal"/>
        <w:jc w:val="center"/>
        <w:rPr/>
      </w:pPr>
      <w:r>
        <w:rPr/>
        <w:t xml:space="preserve">DELIVERY POINT(S) </w:t>
      </w:r>
    </w:p>
    <w:p>
      <w:pPr>
        <w:pStyle w:val="Normal"/>
        <w:jc w:val="both"/>
        <w:rPr/>
      </w:pPr>
      <w:r>
        <w:rPr/>
      </w:r>
    </w:p>
    <w:p>
      <w:pPr>
        <w:pStyle w:val="Normal"/>
        <w:tabs>
          <w:tab w:val="clear" w:pos="720"/>
          <w:tab w:val="left" w:pos="8010" w:leader="none"/>
        </w:tabs>
        <w:jc w:val="both"/>
        <w:rPr>
          <w:b/>
          <w:u w:val="single"/>
        </w:rPr>
      </w:pPr>
      <w:r>
        <w:rPr>
          <w:b/>
          <w:u w:val="single"/>
        </w:rPr>
        <w:t>DELIVERY POINT(S)</w:t>
      </w:r>
    </w:p>
    <w:p>
      <w:pPr>
        <w:pStyle w:val="Normal"/>
        <w:jc w:val="both"/>
        <w:rPr>
          <w:b/>
          <w:u w:val="single"/>
        </w:rPr>
      </w:pPr>
      <w:r>
        <w:rPr>
          <w:b/>
          <w:u w:val="single"/>
        </w:rPr>
      </w:r>
    </w:p>
    <w:p>
      <w:pPr>
        <w:pStyle w:val="Normal"/>
        <w:jc w:val="both"/>
        <w:rPr/>
      </w:pPr>
      <w:r>
        <w:rPr/>
        <w:t>METER NO._______________ LOCATED IN ________________ COUNTY, ____________</w:t>
      </w:r>
    </w:p>
    <w:p>
      <w:pPr>
        <w:pStyle w:val="Normal"/>
        <w:jc w:val="both"/>
        <w:rPr/>
      </w:pPr>
      <w:r>
        <w:rPr/>
      </w:r>
      <w:r>
        <w:br w:type="page"/>
      </w:r>
    </w:p>
    <w:p>
      <w:pPr>
        <w:pStyle w:val="Normal"/>
        <w:jc w:val="center"/>
        <w:rPr>
          <w:b/>
        </w:rPr>
      </w:pPr>
      <w:r>
        <w:rPr>
          <w:b/>
        </w:rPr>
        <w:t>EXHIBIT "D"</w:t>
      </w:r>
    </w:p>
    <w:p>
      <w:pPr>
        <w:pStyle w:val="Normal"/>
        <w:jc w:val="center"/>
        <w:rPr/>
      </w:pPr>
      <w:r>
        <w:rPr/>
        <w:t>GAS PURCHASE AGREEMENT</w:t>
      </w:r>
    </w:p>
    <w:p>
      <w:pPr>
        <w:pStyle w:val="Normal"/>
        <w:tabs>
          <w:tab w:val="clear" w:pos="720"/>
          <w:tab w:val="center" w:pos="10800" w:leader="none"/>
        </w:tabs>
        <w:jc w:val="center"/>
        <w:rPr/>
      </w:pPr>
      <w:r>
        <w:rPr/>
        <w:t>NOTICE / COMMUNICATION / PAYMENT / AUDIT</w:t>
      </w:r>
    </w:p>
    <w:p>
      <w:pPr>
        <w:pStyle w:val="Normal"/>
        <w:tabs>
          <w:tab w:val="clear" w:pos="720"/>
          <w:tab w:val="center" w:pos="10800" w:leader="none"/>
        </w:tabs>
        <w:jc w:val="center"/>
        <w:rPr/>
      </w:pPr>
      <w:r>
        <w:rPr/>
      </w:r>
    </w:p>
    <w:p>
      <w:pPr>
        <w:pStyle w:val="Normal"/>
        <w:tabs>
          <w:tab w:val="clear" w:pos="720"/>
          <w:tab w:val="center" w:pos="10800" w:leader="none"/>
        </w:tabs>
        <w:jc w:val="both"/>
        <w:rPr>
          <w:u w:val="single"/>
        </w:rPr>
      </w:pPr>
      <w:r>
        <w:rPr>
          <w:b/>
          <w:u w:val="single"/>
        </w:rPr>
        <w:t>NOTICE / COMMUNICATION / PAYMENT</w:t>
      </w:r>
    </w:p>
    <w:p>
      <w:pPr>
        <w:pStyle w:val="Normal"/>
        <w:jc w:val="both"/>
        <w:rPr>
          <w:u w:val="single"/>
        </w:rPr>
      </w:pPr>
      <w:r>
        <w:rPr>
          <w:u w:val="single"/>
        </w:rPr>
      </w:r>
    </w:p>
    <w:p>
      <w:pPr>
        <w:pStyle w:val="Norma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jc w:val="both"/>
        <w:rPr>
          <w:b/>
        </w:rPr>
      </w:pPr>
      <w:r>
        <w:rPr>
          <w:b/>
        </w:rPr>
        <w:t>TO BUYER:</w:t>
      </w:r>
    </w:p>
    <w:p>
      <w:pPr>
        <w:pStyle w:val="Normal"/>
        <w:jc w:val="both"/>
        <w:rPr/>
      </w:pPr>
      <w:r>
        <w:rPr>
          <w:b/>
        </w:rPr>
        <w:t xml:space="preserve">Notices/Correspondence: </w:t>
        <w:tab/>
        <w:tab/>
        <w:tab/>
        <w:tab/>
      </w:r>
      <w:r>
        <w:rPr/>
        <w:t>Scott Sitter</w:t>
      </w:r>
    </w:p>
    <w:p>
      <w:pPr>
        <w:pStyle w:val="Normal"/>
        <w:jc w:val="both"/>
        <w:rPr/>
      </w:pPr>
      <w:r>
        <w:rPr/>
        <w:tab/>
        <w:tab/>
        <w:tab/>
        <w:tab/>
        <w:tab/>
        <w:tab/>
        <w:tab/>
        <w:t>Denver, CO 80202</w:t>
      </w:r>
    </w:p>
    <w:p>
      <w:pPr>
        <w:pStyle w:val="Normal"/>
        <w:jc w:val="both"/>
        <w:rPr/>
      </w:pPr>
      <w:r>
        <w:rPr/>
        <w:tab/>
        <w:tab/>
        <w:tab/>
        <w:tab/>
        <w:tab/>
        <w:tab/>
        <w:tab/>
        <w:t>Phone: (303) 575-6465</w:t>
      </w:r>
    </w:p>
    <w:p>
      <w:pPr>
        <w:pStyle w:val="Normal"/>
        <w:jc w:val="both"/>
        <w:rPr/>
      </w:pPr>
      <w:r>
        <w:rPr/>
        <w:tab/>
        <w:tab/>
        <w:tab/>
        <w:tab/>
        <w:tab/>
        <w:tab/>
        <w:tab/>
        <w:t>Fax:   (303) 534-0552</w:t>
      </w:r>
    </w:p>
    <w:p>
      <w:pPr>
        <w:pStyle w:val="Normal"/>
        <w:jc w:val="both"/>
        <w:rPr>
          <w:b/>
        </w:rPr>
      </w:pPr>
      <w:r>
        <w:rPr>
          <w:b/>
        </w:rPr>
      </w:r>
    </w:p>
    <w:p>
      <w:pPr>
        <w:pStyle w:val="Normal"/>
        <w:jc w:val="both"/>
        <w:rPr>
          <w:b/>
        </w:rPr>
      </w:pPr>
      <w:r>
        <w:rPr>
          <w:b/>
        </w:rPr>
        <w:t>Invoices and Accounting Matters:</w:t>
        <w:tab/>
        <w:tab/>
        <w:tab/>
      </w:r>
      <w:r>
        <w:rPr/>
        <w:t>Same as above</w:t>
      </w:r>
    </w:p>
    <w:p>
      <w:pPr>
        <w:pStyle w:val="Normal"/>
        <w:jc w:val="both"/>
        <w:rPr>
          <w:b/>
        </w:rPr>
      </w:pPr>
      <w:r>
        <w:rPr>
          <w:b/>
        </w:rPr>
      </w:r>
    </w:p>
    <w:p>
      <w:pPr>
        <w:pStyle w:val="Normal"/>
        <w:jc w:val="both"/>
        <w:rPr/>
      </w:pPr>
      <w:r>
        <w:rPr>
          <w:b/>
        </w:rPr>
        <w:t>Payments:</w:t>
        <w:tab/>
        <w:tab/>
        <w:tab/>
        <w:tab/>
        <w:tab/>
        <w:tab/>
      </w:r>
      <w:r>
        <w:rPr/>
        <w:t>by Wire Transfer</w:t>
      </w:r>
    </w:p>
    <w:p>
      <w:pPr>
        <w:pStyle w:val="Normal"/>
        <w:jc w:val="both"/>
        <w:rPr/>
      </w:pPr>
      <w:r>
        <w:rPr/>
        <w:tab/>
        <w:tab/>
        <w:tab/>
        <w:tab/>
        <w:tab/>
        <w:tab/>
        <w:tab/>
        <w:t>NationsBank of Texas, N.A.</w:t>
      </w:r>
    </w:p>
    <w:p>
      <w:pPr>
        <w:pStyle w:val="Normal"/>
        <w:jc w:val="both"/>
        <w:rPr/>
      </w:pPr>
      <w:r>
        <w:rPr/>
        <w:tab/>
        <w:tab/>
        <w:tab/>
        <w:tab/>
        <w:tab/>
        <w:tab/>
        <w:tab/>
        <w:t>ABA Route # 111000025</w:t>
      </w:r>
    </w:p>
    <w:p>
      <w:pPr>
        <w:pStyle w:val="Normal"/>
        <w:jc w:val="both"/>
        <w:rPr/>
      </w:pPr>
      <w:r>
        <w:rPr/>
        <w:tab/>
        <w:tab/>
        <w:tab/>
        <w:tab/>
        <w:tab/>
        <w:tab/>
        <w:tab/>
        <w:t>Acct # 4140327387</w:t>
      </w:r>
    </w:p>
    <w:p>
      <w:pPr>
        <w:pStyle w:val="Normal"/>
        <w:jc w:val="both"/>
        <w:rPr>
          <w:b/>
        </w:rPr>
      </w:pPr>
      <w:r>
        <w:rPr>
          <w:b/>
        </w:rPr>
      </w:r>
    </w:p>
    <w:p>
      <w:pPr>
        <w:pStyle w:val="Normal"/>
        <w:jc w:val="both"/>
        <w:rPr/>
      </w:pPr>
      <w:r>
        <w:rPr>
          <w:b/>
        </w:rPr>
        <w:t xml:space="preserve">Nominations: </w:t>
        <w:tab/>
        <w:tab/>
        <w:tab/>
        <w:tab/>
        <w:tab/>
        <w:tab/>
      </w:r>
      <w:r>
        <w:rPr/>
        <w:t>Scott Sitter</w:t>
      </w:r>
    </w:p>
    <w:p>
      <w:pPr>
        <w:pStyle w:val="Normal"/>
        <w:jc w:val="both"/>
        <w:rPr/>
      </w:pPr>
      <w:r>
        <w:rPr/>
        <w:tab/>
        <w:tab/>
        <w:tab/>
        <w:tab/>
        <w:tab/>
        <w:tab/>
        <w:tab/>
        <w:t>Denver, CO 80202</w:t>
      </w:r>
    </w:p>
    <w:p>
      <w:pPr>
        <w:pStyle w:val="Normal"/>
        <w:jc w:val="both"/>
        <w:rPr/>
      </w:pPr>
      <w:r>
        <w:rPr/>
        <w:tab/>
        <w:tab/>
        <w:tab/>
        <w:tab/>
        <w:tab/>
        <w:tab/>
        <w:tab/>
        <w:t>Phone: (303) 575-6465</w:t>
      </w:r>
    </w:p>
    <w:p>
      <w:pPr>
        <w:pStyle w:val="Normal"/>
        <w:jc w:val="both"/>
        <w:rPr/>
      </w:pPr>
      <w:r>
        <w:rPr/>
        <w:tab/>
        <w:tab/>
        <w:tab/>
        <w:tab/>
        <w:tab/>
        <w:tab/>
        <w:tab/>
        <w:t>Fax:   (303) 534-0552</w:t>
      </w:r>
    </w:p>
    <w:p>
      <w:pPr>
        <w:pStyle w:val="Normal"/>
        <w:jc w:val="both"/>
        <w:rPr>
          <w:b/>
        </w:rPr>
      </w:pPr>
      <w:r>
        <w:rPr>
          <w:b/>
        </w:rPr>
      </w:r>
    </w:p>
    <w:p>
      <w:pPr>
        <w:pStyle w:val="Normal"/>
        <w:jc w:val="both"/>
        <w:rPr>
          <w:b/>
        </w:rPr>
      </w:pPr>
      <w:r>
        <w:rPr>
          <w:b/>
        </w:rPr>
        <w:t xml:space="preserve">Confirmations: </w:t>
        <w:tab/>
        <w:tab/>
        <w:tab/>
        <w:tab/>
        <w:tab/>
        <w:tab/>
      </w:r>
      <w:r>
        <w:rPr/>
        <w:t>Same as above</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TO SELLER:</w:t>
      </w:r>
    </w:p>
    <w:p>
      <w:pPr>
        <w:pStyle w:val="Normal"/>
        <w:jc w:val="both"/>
        <w:rPr>
          <w:u w:val="single"/>
        </w:rPr>
      </w:pPr>
      <w:r>
        <w:rPr>
          <w:b/>
        </w:rPr>
        <w:t>Notices/Correspondence:</w:t>
        <w:tab/>
        <w:tab/>
        <w:tab/>
        <w:tab/>
        <w:tab/>
      </w:r>
      <w:r>
        <w:rPr/>
        <w:t>Petrogulf Corporation</w:t>
        <w:tab/>
        <w:tab/>
        <w:tab/>
        <w:tab/>
        <w:tab/>
        <w:tab/>
        <w:tab/>
        <w:tab/>
        <w:tab/>
        <w:tab/>
        <w:tab/>
        <w:t>518 17</w:t>
      </w:r>
      <w:r>
        <w:rPr>
          <w:vertAlign w:val="superscript"/>
        </w:rPr>
        <w:t>th</w:t>
      </w:r>
      <w:r>
        <w:rPr/>
        <w:t xml:space="preserve"> Street, Suite 1455</w:t>
      </w:r>
    </w:p>
    <w:p>
      <w:pPr>
        <w:pStyle w:val="Normal"/>
        <w:jc w:val="both"/>
        <w:rPr/>
      </w:pPr>
      <w:r>
        <w:rPr/>
        <w:tab/>
        <w:tab/>
        <w:tab/>
        <w:tab/>
        <w:tab/>
        <w:tab/>
        <w:tab/>
        <w:t>Denver, CO 80202</w:t>
      </w:r>
    </w:p>
    <w:p>
      <w:pPr>
        <w:pStyle w:val="Normal"/>
        <w:jc w:val="both"/>
        <w:rPr/>
      </w:pPr>
      <w:r>
        <w:rPr/>
        <w:tab/>
        <w:tab/>
        <w:tab/>
        <w:tab/>
        <w:tab/>
        <w:tab/>
        <w:tab/>
        <w:t xml:space="preserve">Phone: </w:t>
      </w:r>
      <w:r>
        <w:rPr>
          <w:u w:val="single"/>
        </w:rPr>
        <w:tab/>
        <w:tab/>
        <w:tab/>
        <w:tab/>
      </w:r>
    </w:p>
    <w:p>
      <w:pPr>
        <w:pStyle w:val="Normal"/>
        <w:jc w:val="both"/>
        <w:rPr/>
      </w:pPr>
      <w:r>
        <w:rPr/>
        <w:tab/>
        <w:tab/>
        <w:tab/>
        <w:tab/>
        <w:tab/>
        <w:tab/>
        <w:tab/>
        <w:t>Fax: (303) 893-1472</w:t>
      </w:r>
    </w:p>
    <w:p>
      <w:pPr>
        <w:pStyle w:val="Normal"/>
        <w:jc w:val="both"/>
        <w:rPr/>
      </w:pPr>
      <w:r>
        <w:rPr/>
      </w:r>
    </w:p>
    <w:p>
      <w:pPr>
        <w:pStyle w:val="Normal"/>
        <w:jc w:val="both"/>
        <w:rPr/>
      </w:pPr>
      <w:r>
        <w:rPr/>
      </w:r>
    </w:p>
    <w:p>
      <w:pPr>
        <w:pStyle w:val="Normal"/>
        <w:jc w:val="both"/>
        <w:rPr/>
      </w:pPr>
      <w:r>
        <w:rPr>
          <w:b/>
        </w:rPr>
        <w:t>Invoices and Accounting Matters:</w:t>
        <w:tab/>
        <w:tab/>
        <w:tab/>
      </w:r>
      <w:r>
        <w:rPr/>
        <w:t>Same as above</w:t>
      </w:r>
    </w:p>
    <w:p>
      <w:pPr>
        <w:pStyle w:val="Normal"/>
        <w:jc w:val="both"/>
        <w:rPr/>
      </w:pPr>
      <w:r>
        <w:rPr/>
      </w:r>
    </w:p>
    <w:p>
      <w:pPr>
        <w:pStyle w:val="Normal"/>
        <w:jc w:val="both"/>
        <w:rPr/>
      </w:pPr>
      <w:r>
        <w:rPr/>
      </w:r>
    </w:p>
    <w:p>
      <w:pPr>
        <w:pStyle w:val="Normal"/>
        <w:jc w:val="both"/>
        <w:rPr>
          <w:b/>
        </w:rPr>
      </w:pPr>
      <w:r>
        <w:rPr>
          <w:b/>
        </w:rPr>
        <w:t>Payments:</w:t>
      </w:r>
    </w:p>
    <w:p>
      <w:pPr>
        <w:pStyle w:val="Normal"/>
        <w:jc w:val="both"/>
        <w:rPr/>
      </w:pPr>
      <w:r>
        <w:rPr/>
      </w:r>
    </w:p>
    <w:p>
      <w:pPr>
        <w:pStyle w:val="Normal"/>
        <w:jc w:val="both"/>
        <w:rPr/>
      </w:pPr>
      <w:r>
        <w:rPr/>
        <w:t>Gas Tax I.D.  83-0321275</w:t>
      </w:r>
    </w:p>
    <w:p>
      <w:pPr>
        <w:pStyle w:val="Normal"/>
        <w:jc w:val="both"/>
        <w:rPr/>
      </w:pPr>
      <w:r>
        <w:rPr/>
      </w:r>
    </w:p>
    <w:p>
      <w:pPr>
        <w:pStyle w:val="Normal"/>
        <w:jc w:val="both"/>
        <w:rPr/>
      </w:pPr>
      <w:r>
        <w:rPr>
          <w:b/>
        </w:rPr>
        <w:t>Nominations:</w:t>
        <w:tab/>
        <w:tab/>
        <w:tab/>
        <w:tab/>
        <w:tab/>
        <w:tab/>
      </w:r>
      <w:r>
        <w:rPr/>
        <w:t>Same as above</w:t>
      </w:r>
    </w:p>
    <w:p>
      <w:pPr>
        <w:pStyle w:val="Normal"/>
        <w:jc w:val="both"/>
        <w:rPr>
          <w:b/>
        </w:rPr>
      </w:pPr>
      <w:r>
        <w:rPr>
          <w:b/>
        </w:rPr>
        <w:t>Confirmations:</w:t>
        <w:tab/>
        <w:tab/>
        <w:tab/>
        <w:tab/>
        <w:tab/>
        <w:tab/>
      </w:r>
      <w:r>
        <w:rPr/>
        <w:t>Same as above</w:t>
      </w:r>
    </w:p>
    <w:p>
      <w:pPr>
        <w:pStyle w:val="Normal"/>
        <w:jc w:val="both"/>
        <w:rPr>
          <w:b/>
          <w:u w:val="single"/>
        </w:rPr>
      </w:pPr>
      <w:r>
        <w:rPr>
          <w:b/>
          <w:u w:val="single"/>
        </w:rPr>
      </w:r>
    </w:p>
    <w:p>
      <w:pPr>
        <w:pStyle w:val="Normal"/>
        <w:jc w:val="both"/>
        <w:rPr>
          <w:b/>
          <w:u w:val="single"/>
        </w:rPr>
      </w:pPr>
      <w:r>
        <w:rPr>
          <w:b/>
          <w:u w:val="single"/>
        </w:rPr>
        <w:t>AUDIT RIGHTS</w:t>
      </w:r>
    </w:p>
    <w:p>
      <w:pPr>
        <w:pStyle w:val="Normal"/>
        <w:jc w:val="both"/>
        <w:rPr>
          <w:b/>
          <w:u w:val="single"/>
        </w:rPr>
      </w:pPr>
      <w:r>
        <w:rPr>
          <w:b/>
          <w:u w:val="single"/>
        </w:rPr>
      </w:r>
    </w:p>
    <w:p>
      <w:pPr>
        <w:pStyle w:val="Norma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jc w:val="center"/>
        <w:rPr>
          <w:b/>
        </w:rPr>
      </w:pPr>
      <w:r>
        <w:rPr>
          <w:b/>
        </w:rPr>
      </w:r>
    </w:p>
    <w:p>
      <w:pPr>
        <w:pStyle w:val="Normal"/>
        <w:jc w:val="center"/>
        <w:rPr>
          <w:b/>
        </w:rPr>
      </w:pPr>
      <w:r>
        <w:rPr>
          <w:b/>
        </w:rPr>
        <w:t>EXHIBIT "E"</w:t>
      </w:r>
    </w:p>
    <w:p>
      <w:pPr>
        <w:pStyle w:val="Normal"/>
        <w:jc w:val="center"/>
        <w:rPr/>
      </w:pPr>
      <w:r>
        <w:rPr/>
        <w:t xml:space="preserve"> </w:t>
      </w:r>
      <w:r>
        <w:rPr/>
        <w:t>GAS PURCHASE AGREEMENT</w:t>
      </w:r>
    </w:p>
    <w:p>
      <w:pPr>
        <w:pStyle w:val="Normal"/>
        <w:tabs>
          <w:tab w:val="clear" w:pos="720"/>
          <w:tab w:val="center" w:pos="10800" w:leader="none"/>
        </w:tabs>
        <w:jc w:val="center"/>
        <w:rPr/>
      </w:pPr>
      <w:r>
        <w:rPr/>
        <w:t>NOTICE OF GAS CONTRACT</w:t>
      </w:r>
    </w:p>
    <w:p>
      <w:pPr>
        <w:pStyle w:val="Normal"/>
        <w:jc w:val="both"/>
        <w:rPr/>
      </w:pPr>
      <w:r>
        <w:rPr/>
      </w:r>
    </w:p>
    <w:p>
      <w:pPr>
        <w:pStyle w:val="Norma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jc w:val="both"/>
        <w:rPr/>
      </w:pPr>
      <w:r>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r>
    </w:p>
    <w:p>
      <w:pPr>
        <w:pStyle w:val="Normal"/>
        <w:jc w:val="both"/>
        <w:rPr>
          <w:b/>
        </w:rPr>
      </w:pPr>
      <w:r>
        <w:rPr>
          <w:b/>
        </w:rPr>
        <w:t>UNDERSIGNED:</w:t>
      </w:r>
    </w:p>
    <w:p>
      <w:pPr>
        <w:pStyle w:val="Normal"/>
        <w:jc w:val="both"/>
        <w:rPr>
          <w:b/>
        </w:rPr>
      </w:pPr>
      <w:r>
        <w:rPr>
          <w:b/>
        </w:rPr>
        <w:t>NOT FOR EXECUTION; EXHIBIT FORM ONLY</w:t>
      </w:r>
    </w:p>
    <w:p>
      <w:pPr>
        <w:pStyle w:val="Normal"/>
        <w:jc w:val="both"/>
        <w:rPr>
          <w:b/>
        </w:rPr>
      </w:pPr>
      <w:r>
        <w:rPr>
          <w:b/>
        </w:rPr>
        <w:t>RETURN THIS DOCUMENT TO: LEGAL DEPARTMENT</w:t>
      </w:r>
    </w:p>
    <w:p>
      <w:pPr>
        <w:pStyle w:val="Normal"/>
        <w:jc w:val="both"/>
        <w:rPr>
          <w:b/>
        </w:rPr>
      </w:pPr>
      <w:r>
        <w:rPr>
          <w:b/>
        </w:rPr>
        <w:tab/>
        <w:tab/>
        <w:tab/>
        <w:t xml:space="preserve">         </w:t>
        <w:tab/>
        <w:tab/>
        <w:t>ATTN.:  ___________________________</w:t>
      </w:r>
    </w:p>
    <w:p>
      <w:pPr>
        <w:pStyle w:val="Normal"/>
        <w:jc w:val="both"/>
        <w:rPr>
          <w:b/>
        </w:rPr>
      </w:pPr>
      <w:r>
        <w:rPr>
          <w:b/>
        </w:rPr>
        <w:tab/>
        <w:tab/>
        <w:tab/>
        <w:tab/>
        <w:tab/>
        <w:t>1400 SMITH STREET</w:t>
      </w:r>
    </w:p>
    <w:p>
      <w:pPr>
        <w:pStyle w:val="Normal"/>
        <w:jc w:val="both"/>
        <w:rPr>
          <w:b/>
        </w:rPr>
      </w:pPr>
      <w:r>
        <w:rPr>
          <w:b/>
        </w:rPr>
        <w:tab/>
        <w:tab/>
        <w:tab/>
        <w:tab/>
        <w:tab/>
        <w:t>HOUSTON, TEXAS   77002</w:t>
      </w:r>
    </w:p>
    <w:p>
      <w:pPr>
        <w:pStyle w:val="Normal"/>
        <w:jc w:val="both"/>
        <w:rPr>
          <w:b/>
        </w:rPr>
      </w:pPr>
      <w:r>
        <w:rPr>
          <w:b/>
        </w:rPr>
      </w:r>
    </w:p>
    <w:p>
      <w:pPr>
        <w:pStyle w:val="Normal"/>
        <w:tabs>
          <w:tab w:val="clear" w:pos="720"/>
          <w:tab w:val="left" w:pos="4050" w:leader="none"/>
          <w:tab w:val="left" w:pos="5400" w:leader="none"/>
          <w:tab w:val="left" w:pos="9360" w:leader="none"/>
        </w:tabs>
        <w:rPr/>
      </w:pPr>
      <w:r>
        <w:rPr/>
        <w:t>ENRON NORTH AMERICA CORP.</w:t>
        <w:tab/>
        <w:tab/>
      </w:r>
    </w:p>
    <w:p>
      <w:pPr>
        <w:pStyle w:val="Normal"/>
        <w:tabs>
          <w:tab w:val="clear" w:pos="720"/>
          <w:tab w:val="left" w:pos="4050" w:leader="none"/>
          <w:tab w:val="left" w:pos="5400" w:leader="none"/>
          <w:tab w:val="left" w:pos="9360" w:leader="none"/>
        </w:tabs>
        <w:rPr/>
      </w:pPr>
      <w:r>
        <w:rPr/>
        <w:t>By:</w:t>
      </w:r>
      <w:r>
        <w:rPr>
          <w:u w:val="single"/>
        </w:rPr>
        <w:tab/>
      </w:r>
      <w:r>
        <w:rPr/>
        <w:tab/>
      </w:r>
    </w:p>
    <w:p>
      <w:pPr>
        <w:pStyle w:val="Normal"/>
        <w:tabs>
          <w:tab w:val="clear" w:pos="720"/>
          <w:tab w:val="left" w:pos="4050" w:leader="none"/>
          <w:tab w:val="left" w:pos="5400" w:leader="none"/>
          <w:tab w:val="left" w:pos="9360" w:leader="none"/>
        </w:tabs>
        <w:rPr>
          <w:u w:val="single"/>
        </w:rPr>
      </w:pPr>
      <w:r>
        <w:rPr/>
        <w:t>Title:</w:t>
      </w:r>
      <w:r>
        <w:rPr>
          <w:u w:val="single"/>
        </w:rPr>
        <w:tab/>
      </w:r>
      <w:r>
        <w:rPr/>
        <w:tab/>
      </w:r>
    </w:p>
    <w:p>
      <w:pPr>
        <w:pStyle w:val="Normal"/>
        <w:tabs>
          <w:tab w:val="clear" w:pos="720"/>
          <w:tab w:val="left" w:pos="4050" w:leader="none"/>
          <w:tab w:val="left" w:pos="5400" w:leader="none"/>
          <w:tab w:val="left" w:pos="9360" w:leader="none"/>
        </w:tabs>
        <w:rPr>
          <w:u w:val="single"/>
        </w:rPr>
      </w:pPr>
      <w:r>
        <w:rPr>
          <w:u w:val="single"/>
        </w:rPr>
      </w:r>
    </w:p>
    <w:p>
      <w:pPr>
        <w:pStyle w:val="Normal"/>
        <w:tabs>
          <w:tab w:val="clear" w:pos="720"/>
          <w:tab w:val="left" w:pos="4050" w:leader="none"/>
          <w:tab w:val="left" w:pos="5400" w:leader="none"/>
          <w:tab w:val="left" w:pos="9360" w:leader="none"/>
        </w:tabs>
        <w:rPr/>
      </w:pPr>
      <w:r>
        <w:rPr/>
        <w:t>PETROGULF CORPORATION</w:t>
      </w:r>
    </w:p>
    <w:p>
      <w:pPr>
        <w:pStyle w:val="Normal"/>
        <w:tabs>
          <w:tab w:val="clear" w:pos="720"/>
          <w:tab w:val="left" w:pos="4050" w:leader="none"/>
          <w:tab w:val="left" w:pos="5400" w:leader="none"/>
          <w:tab w:val="left" w:pos="9360" w:leader="none"/>
        </w:tabs>
        <w:rPr/>
      </w:pPr>
      <w:r>
        <w:rPr/>
        <w:t>By:</w:t>
      </w:r>
      <w:r>
        <w:rPr>
          <w:u w:val="single"/>
        </w:rPr>
        <w:tab/>
      </w:r>
    </w:p>
    <w:p>
      <w:pPr>
        <w:pStyle w:val="Normal"/>
        <w:tabs>
          <w:tab w:val="clear" w:pos="720"/>
          <w:tab w:val="left" w:pos="4050" w:leader="none"/>
          <w:tab w:val="left" w:pos="5400" w:leader="none"/>
          <w:tab w:val="left" w:pos="9360" w:leader="none"/>
        </w:tabs>
        <w:rPr/>
      </w:pPr>
      <w:r>
        <w:rPr/>
        <w:t>Title:</w:t>
      </w:r>
      <w:r>
        <w:rPr>
          <w:u w:val="single"/>
        </w:rPr>
        <w:tab/>
      </w:r>
    </w:p>
    <w:p>
      <w:pPr>
        <w:pStyle w:val="Normal"/>
        <w:jc w:val="both"/>
        <w:rPr>
          <w:u w:val="single"/>
        </w:rPr>
      </w:pPr>
      <w:r>
        <w:rPr>
          <w:u w:val="single"/>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(Attorney-in fact for corporation)</w:t>
      </w:r>
    </w:p>
    <w:p>
      <w:pPr>
        <w:pStyle w:val="Normal"/>
        <w:jc w:val="both"/>
        <w:rPr/>
      </w:pPr>
      <w:r>
        <w:rPr/>
        <w:t>County of _____________________ )</w:t>
      </w:r>
    </w:p>
    <w:p>
      <w:pPr>
        <w:pStyle w:val="Normal"/>
        <w:jc w:val="both"/>
        <w:rPr/>
      </w:pPr>
      <w:r>
        <w:rPr/>
      </w:r>
    </w:p>
    <w:p>
      <w:pPr>
        <w:pStyle w:val="Normal"/>
        <w:jc w:val="both"/>
        <w:rPr/>
      </w:pPr>
      <w:r>
        <w:rPr/>
        <w:t>The foregoing instrument was acknowledged before me by __________________, attorney-in fact for __________________, a __________________ corporation, on behalf of said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2160" w:end="0"/>
        <w:jc w:val="both"/>
        <w:rPr/>
      </w:pPr>
      <w:r>
        <w:rPr/>
        <w:br/>
        <w:t>My Commission Expires:  _________________________</w:t>
      </w:r>
    </w:p>
    <w:p>
      <w:pPr>
        <w:pStyle w:val="Normal"/>
        <w:jc w:val="both"/>
        <w:rPr/>
      </w:pPr>
      <w:r>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(Corporation)</w:t>
      </w:r>
    </w:p>
    <w:p>
      <w:pPr>
        <w:pStyle w:val="Normal"/>
        <w:jc w:val="both"/>
        <w:rPr/>
      </w:pPr>
      <w:r>
        <w:rPr/>
        <w:t>County of _____________________ )</w:t>
      </w:r>
    </w:p>
    <w:p>
      <w:pPr>
        <w:pStyle w:val="Normal"/>
        <w:jc w:val="both"/>
        <w:rPr/>
      </w:pPr>
      <w:r>
        <w:rPr/>
      </w:r>
    </w:p>
    <w:p>
      <w:pPr>
        <w:pStyle w:val="Normal"/>
        <w:jc w:val="both"/>
        <w:rPr/>
      </w:pPr>
      <w:r>
        <w:rPr/>
      </w:r>
    </w:p>
    <w:p>
      <w:pPr>
        <w:pStyle w:val="Normal"/>
        <w:jc w:val="both"/>
        <w:rPr/>
      </w:pPr>
      <w:r>
        <w:rPr/>
      </w:r>
    </w:p>
    <w:p>
      <w:pPr>
        <w:pStyle w:val="Normal"/>
        <w:jc w:val="both"/>
        <w:rPr/>
      </w:pPr>
      <w:r>
        <w:rPr/>
        <w:t>The foregoing instrument was acknowledged before me by __________________, ____________ of  __________________, a __________________ corporation,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2160" w:end="0"/>
        <w:jc w:val="both"/>
        <w:rPr/>
      </w:pPr>
      <w:r>
        <w:rPr/>
        <w:br/>
        <w:t>My Commission Expires:  _________________________</w:t>
      </w:r>
    </w:p>
    <w:p>
      <w:pPr>
        <w:pStyle w:val="Normal"/>
        <w:ind w:start="2160" w:end="0"/>
        <w:jc w:val="both"/>
        <w:rPr>
          <w:lang w:val="en-CA"/>
        </w:rPr>
      </w:pPr>
      <w:r>
        <w:rPr>
          <w:lang w:val="en-CA"/>
        </w:rPr>
      </w:r>
    </w:p>
    <w:p>
      <w:pPr>
        <w:pStyle w:val="Normal"/>
        <w:ind w:start="2160" w:end="0"/>
        <w:jc w:val="both"/>
        <w:rPr>
          <w:lang w:val="en-CA"/>
        </w:rPr>
      </w:pPr>
      <w:r>
        <w:rPr>
          <w:lang w:val="en-CA"/>
        </w:rPr>
      </w:r>
    </w:p>
    <w:p>
      <w:pPr>
        <w:pStyle w:val="Normal"/>
        <w:jc w:val="both"/>
        <w:rPr/>
      </w:pPr>
      <w:r>
        <w:rPr/>
      </w:r>
    </w:p>
    <w:p>
      <w:pPr>
        <w:pStyle w:val="Normal"/>
        <w:jc w:val="both"/>
        <w:rPr/>
      </w:pPr>
      <w:r>
        <w:rPr/>
        <w:t>State of ______</w:t>
      </w:r>
      <w:r>
        <w:rPr>
          <w:u w:val="single"/>
        </w:rPr>
        <w:tab/>
        <w:tab/>
        <w:tab/>
      </w:r>
      <w:r>
        <w:rPr/>
        <w:t>)</w:t>
      </w:r>
    </w:p>
    <w:p>
      <w:pPr>
        <w:pStyle w:val="Normal"/>
        <w:ind w:firstLine="720" w:start="1440" w:end="0"/>
        <w:jc w:val="both"/>
        <w:rPr/>
      </w:pPr>
      <w:r>
        <w:rPr/>
        <w:t xml:space="preserve">                        </w:t>
      </w:r>
      <w:r>
        <w:rPr/>
        <w:t>)</w:t>
      </w:r>
      <w:r>
        <w:rPr>
          <w:b/>
          <w:i/>
        </w:rPr>
        <w:t xml:space="preserve">   (Individual)</w:t>
      </w:r>
    </w:p>
    <w:p>
      <w:pPr>
        <w:pStyle w:val="Normal"/>
        <w:jc w:val="both"/>
        <w:rPr/>
      </w:pPr>
      <w:r>
        <w:rPr/>
        <w:t>County of _____________________ )</w:t>
      </w:r>
    </w:p>
    <w:p>
      <w:pPr>
        <w:pStyle w:val="Normal"/>
        <w:jc w:val="both"/>
        <w:rPr/>
      </w:pPr>
      <w:r>
        <w:rPr/>
      </w:r>
    </w:p>
    <w:p>
      <w:pPr>
        <w:pStyle w:val="Normal"/>
        <w:jc w:val="both"/>
        <w:rPr/>
      </w:pPr>
      <w:r>
        <w:rPr/>
      </w:r>
    </w:p>
    <w:p>
      <w:pPr>
        <w:pStyle w:val="Normal"/>
        <w:jc w:val="both"/>
        <w:rPr/>
      </w:pPr>
      <w:r>
        <w:rPr/>
      </w:r>
    </w:p>
    <w:p>
      <w:pPr>
        <w:pStyle w:val="Normal"/>
        <w:jc w:val="both"/>
        <w:rPr/>
      </w:pPr>
      <w:r>
        <w:rPr/>
        <w:t>The foregoing instrument was acknowledged before me by __________________, on _____________,______.</w:t>
      </w:r>
    </w:p>
    <w:p>
      <w:pPr>
        <w:pStyle w:val="Normal"/>
        <w:jc w:val="both"/>
        <w:rPr/>
      </w:pPr>
      <w:r>
        <w:rPr/>
      </w:r>
    </w:p>
    <w:p>
      <w:pPr>
        <w:pStyle w:val="Normal"/>
        <w:jc w:val="both"/>
        <w:rPr/>
      </w:pPr>
      <w:r>
        <w:rPr/>
        <w:tab/>
        <w:t>Witness my hand and official seal.</w:t>
      </w:r>
    </w:p>
    <w:p>
      <w:pPr>
        <w:pStyle w:val="Normal"/>
        <w:jc w:val="both"/>
        <w:rPr/>
      </w:pPr>
      <w:r>
        <w:rPr/>
      </w:r>
    </w:p>
    <w:p>
      <w:pPr>
        <w:pStyle w:val="Normal"/>
        <w:ind w:firstLine="720" w:start="3600" w:end="0"/>
        <w:jc w:val="both"/>
        <w:rPr/>
      </w:pPr>
      <w:r>
        <w:rPr/>
        <w:t>_________________________________________</w:t>
      </w:r>
    </w:p>
    <w:p>
      <w:pPr>
        <w:pStyle w:val="Normal"/>
        <w:jc w:val="both"/>
        <w:rPr/>
      </w:pPr>
      <w:r>
        <w:rPr/>
        <w:tab/>
        <w:tab/>
        <w:tab/>
        <w:tab/>
        <w:tab/>
        <w:tab/>
        <w:t>Notary Public in and for the State of ____________</w:t>
      </w:r>
    </w:p>
    <w:p>
      <w:pPr>
        <w:pStyle w:val="Normal"/>
        <w:ind w:start="2160" w:end="0"/>
        <w:jc w:val="both"/>
        <w:rPr/>
      </w:pPr>
      <w:r>
        <w:rPr/>
        <w:br/>
        <w:t>My Commission Expires:  _________________________</w:t>
      </w:r>
    </w:p>
    <w:p>
      <w:pPr>
        <w:pStyle w:val="Norma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p>
      <w:pPr>
        <w:pStyle w:val="Normal"/>
        <w:rPr>
          <w:b/>
        </w:rPr>
      </w:pPr>
      <w:r>
        <w:rPr>
          <w:b/>
        </w:rPr>
      </w:r>
    </w:p>
    <w:p>
      <w:pPr>
        <w:pStyle w:val="Normal"/>
        <w:rPr/>
      </w:pPr>
      <w:r>
        <w:rPr/>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Arial Narrow">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r>
  </w:p>
  <w:p>
    <w:pPr>
      <w:pStyle w:val="Footer"/>
      <w:rPr>
        <w:sz w:val="12"/>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/mnt/main-storage/datasets/enron-docs/doc/PetrogulfGPA1.doc</w:t>
    </w:r>
    <w:r>
      <w:rPr>
        <w:sz w:val="12"/>
        <w:lang w:eastAsia="en-US"/>
      </w:rPr>
      <w:fldChar w:fldCharType="end"/>
    </w:r>
  </w:p>
  <w:p>
    <w:pPr>
      <w:pStyle w:val="Footer"/>
      <w:widowControl/>
      <w:rPr>
        <w:rFonts w:ascii="Arial Narrow" w:hAnsi="Arial Narrow" w:cs="Arial Narrow"/>
        <w:sz w:val="17"/>
      </w:rPr>
    </w:pPr>
    <w:r>
      <w:rPr>
        <w:rFonts w:cs="Arial Narrow" w:ascii="Arial Narrow" w:hAnsi="Arial Narrow"/>
        <w:sz w:val="17"/>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lang w:eastAsia="en-US"/>
      </w:rPr>
    </w:pPr>
    <w:r>
      <w:rPr>
        <w:sz w:val="16"/>
        <w:lang w:eastAsia="en-US"/>
      </w:rPr>
    </w:r>
  </w:p>
  <w:p>
    <w:pPr>
      <w:pStyle w:val="Normal"/>
      <w:tabs>
        <w:tab w:val="clear" w:pos="720"/>
        <w:tab w:val="left" w:pos="4050" w:leader="none"/>
        <w:tab w:val="left" w:pos="5400" w:leader="none"/>
        <w:tab w:val="left" w:pos="9360" w:leader="none"/>
      </w:tabs>
      <w:rPr>
        <w:sz w:val="12"/>
        <w:u w:val="single"/>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/mnt/main-storage/datasets/enron-docs/doc/PetrogulfGPA1.doc</w:t>
    </w:r>
    <w:r>
      <w:rPr>
        <w:sz w:val="12"/>
        <w:lang w:eastAsia="en-US"/>
      </w:rPr>
      <w:fldChar w:fldCharType="end"/>
    </w:r>
  </w:p>
  <w:p>
    <w:pPr>
      <w:pStyle w:val="Footer"/>
      <w:rPr>
        <w:sz w:val="12"/>
        <w:u w:val="single"/>
      </w:rPr>
    </w:pPr>
    <w:r>
      <w:rPr>
        <w:sz w:val="12"/>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rFonts w:ascii="Arial Narrow" w:hAnsi="Arial Narrow" w:cs="Arial Narrow"/>
        <w:sz w:val="17"/>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4</w:t>
    </w:r>
    <w:r>
      <w:rPr>
        <w:rStyle w:val="PageNumber"/>
        <w:sz w:val="17"/>
        <w:rFonts w:cs="Arial Narrow" w:ascii="Arial Narrow" w:hAnsi="Arial Narrow"/>
      </w:rPr>
      <w:fldChar w:fldCharType="end"/>
    </w:r>
  </w:p>
  <w:p>
    <w:pPr>
      <w:pStyle w:val="Normal"/>
      <w:tabs>
        <w:tab w:val="clear" w:pos="720"/>
        <w:tab w:val="left" w:pos="4050" w:leader="none"/>
        <w:tab w:val="left" w:pos="5400" w:leader="none"/>
        <w:tab w:val="left" w:pos="9360" w:leader="none"/>
      </w:tabs>
      <w:rPr>
        <w:sz w:val="12"/>
        <w:u w:val="single"/>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/mnt/main-storage/datasets/enron-docs/doc/PetrogulfGPA1.doc</w:t>
    </w:r>
    <w:r>
      <w:rPr>
        <w:sz w:val="12"/>
        <w:lang w:eastAsia="en-US"/>
      </w:rPr>
      <w:fldChar w:fldCharType="end"/>
    </w:r>
  </w:p>
  <w:p>
    <w:pPr>
      <w:pStyle w:val="Footer"/>
      <w:rPr>
        <w:sz w:val="12"/>
        <w:u w:val="single"/>
      </w:rPr>
    </w:pPr>
    <w:r>
      <w:rPr>
        <w:sz w:val="12"/>
        <w:u w:val="single"/>
      </w:rPr>
    </w:r>
  </w:p>
  <w:p>
    <w:pPr>
      <w:pStyle w:val="Footer"/>
      <w:widowControl/>
      <w:rPr>
        <w:sz w:val="23"/>
      </w:rPr>
    </w:pPr>
    <w:r>
      <w:rPr>
        <w:sz w:val="23"/>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050" w:leader="none"/>
        <w:tab w:val="left" w:pos="5400" w:leader="none"/>
        <w:tab w:val="left" w:pos="9360" w:leader="none"/>
      </w:tabs>
      <w:rPr>
        <w:sz w:val="16"/>
        <w:lang w:eastAsia="en-US"/>
      </w:rPr>
    </w:pPr>
    <w:r>
      <w:rPr>
        <w:sz w:val="16"/>
        <w:lang w:eastAsia="en-US"/>
      </w:rPr>
    </w:r>
  </w:p>
  <w:p>
    <w:pPr>
      <w:pStyle w:val="Normal"/>
      <w:tabs>
        <w:tab w:val="clear" w:pos="720"/>
        <w:tab w:val="left" w:pos="4050" w:leader="none"/>
        <w:tab w:val="left" w:pos="5400" w:leader="none"/>
        <w:tab w:val="left" w:pos="9360" w:leader="none"/>
      </w:tabs>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/mnt/main-storage/datasets/enron-docs/doc/PetrogulfGPA1.doc</w:t>
    </w:r>
    <w:r>
      <w:rPr>
        <w:sz w:val="12"/>
        <w:lang w:eastAsia="en-US"/>
      </w:rPr>
      <w:fldChar w:fldCharType="end"/>
    </w:r>
  </w:p>
  <w:p>
    <w:pPr>
      <w:pStyle w:val="Footer"/>
      <w:rPr>
        <w:sz w:val="12"/>
        <w:u w:val="single"/>
      </w:rPr>
    </w:pPr>
    <w:r>
      <w:rPr>
        <w:sz w:val="12"/>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Normal"/>
      <w:tabs>
        <w:tab w:val="clear" w:pos="720"/>
        <w:tab w:val="left" w:pos="4050" w:leader="none"/>
        <w:tab w:val="left" w:pos="5400" w:leader="none"/>
        <w:tab w:val="left" w:pos="9360" w:leader="none"/>
      </w:tabs>
      <w:rPr>
        <w:sz w:val="12"/>
        <w:u w:val="single"/>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/mnt/main-storage/datasets/enron-docs/doc/PetrogulfGPA1.doc</w:t>
    </w:r>
    <w:r>
      <w:rPr>
        <w:sz w:val="12"/>
        <w:lang w:eastAsia="en-US"/>
      </w:rPr>
      <w:fldChar w:fldCharType="end"/>
    </w:r>
  </w:p>
  <w:p>
    <w:pPr>
      <w:pStyle w:val="Footer"/>
      <w:rPr>
        <w:sz w:val="12"/>
        <w:u w:val="single"/>
      </w:rPr>
    </w:pPr>
    <w:r>
      <w:rPr>
        <w:sz w:val="12"/>
        <w:u w:val="single"/>
      </w:rPr>
    </w:r>
  </w:p>
  <w:p>
    <w:pPr>
      <w:pStyle w:val="Footer"/>
      <w:widowControl/>
      <w:rPr>
        <w:sz w:val="17"/>
      </w:rPr>
    </w:pPr>
    <w:r>
      <w:rPr>
        <w:sz w:val="17"/>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Justified"/>
    <w:qFormat/>
    <w:pPr>
      <w:widowControl w:val="false"/>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30" w:leader="none"/>
      </w:tabs>
      <w:ind w:firstLine="90" w:start="630" w:end="0"/>
      <w:jc w:val="both"/>
    </w:pPr>
    <w:rPr>
      <w:rFonts w:ascii="Arial" w:hAnsi="Arial" w:cs="Arial"/>
      <w:sz w:val="24"/>
    </w:rPr>
  </w:style>
  <w:style w:type="paragraph" w:styleId="Justified">
    <w:name w:val="Justified"/>
    <w:basedOn w:val="Normal"/>
    <w:next w:val="Heading2"/>
    <w:qFormat/>
    <w:pPr>
      <w:widowControl w:val="false"/>
      <w:spacing w:before="0" w:after="120"/>
      <w:jc w:val="both"/>
    </w:pPr>
    <w:rPr>
      <w:rFonts w:ascii="CG Times (W1);Times New Roman" w:hAnsi="CG Times (W1);Times New Roman" w:cs="CG Times (W1);Times New Roman"/>
      <w:sz w:val="26"/>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INVOICEHD2">
    <w:name w:val="INVOICE HD2"/>
    <w:basedOn w:val="Normal"/>
    <w:qFormat/>
    <w:pPr>
      <w:widowControl w:val="false"/>
      <w:tabs>
        <w:tab w:val="clear" w:pos="720"/>
        <w:tab w:val="left" w:pos="4680" w:leader="none"/>
      </w:tabs>
      <w:jc w:val="center"/>
    </w:pPr>
    <w:rPr>
      <w:rFonts w:ascii="Courier" w:hAnsi="Courier" w:cs="Courier"/>
      <w:sz w:val="24"/>
    </w:rPr>
  </w:style>
  <w:style w:type="paragraph" w:styleId="NormalIndent">
    <w:name w:val="Normal Indent"/>
    <w:basedOn w:val="Normal"/>
    <w:qFormat/>
    <w:pPr>
      <w:widowControl w:val="false"/>
      <w:ind w:hanging="0" w:start="720" w:end="0"/>
    </w:pPr>
    <w:rPr>
      <w:sz w:val="24"/>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1999-09-15T13:32:00Z</dcterms:created>
  <dc:creator>Daniel J. Hyvl</dc:creator>
  <dc:description/>
  <dc:language>en-CA</dc:language>
  <cp:lastModifiedBy>Daniel J. Hyvl</cp:lastModifiedBy>
  <dcterms:modified xsi:type="dcterms:W3CDTF">1999-09-15T15:19:00Z</dcterms:modified>
  <cp:revision>4</cp:revision>
  <dc:subject/>
  <dc:title>GAS PURCHASE AGREEMENT </dc:title>
</cp:coreProperties>
</file>